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5740" w:rsidR="002E2A9A" w:rsidP="00E708F1" w:rsidRDefault="002E2A9A" w14:paraId="5527B055" w14:textId="10DE87CD">
      <w:pPr>
        <w:pStyle w:val="Subtitle"/>
        <w:spacing w:after="0"/>
        <w:jc w:val="left"/>
        <w:rPr>
          <w:rFonts w:ascii="Arial" w:hAnsi="Arial" w:cs="Arial"/>
          <w:caps/>
          <w:color w:val="F7941D"/>
          <w:sz w:val="36"/>
          <w:szCs w:val="36"/>
        </w:rPr>
      </w:pPr>
      <w:bookmarkStart w:name="_Hlk94086867" w:id="0"/>
      <w:r>
        <w:rPr>
          <w:rFonts w:ascii="Arial" w:hAnsi="Arial" w:cs="Arial"/>
          <w:caps/>
          <w:color w:val="F7941D"/>
          <w:sz w:val="36"/>
          <w:szCs w:val="36"/>
        </w:rPr>
        <w:t xml:space="preserve">Proxy Statement </w:t>
      </w:r>
      <w:r w:rsidRPr="00DB5740">
        <w:rPr>
          <w:rFonts w:ascii="Arial" w:hAnsi="Arial" w:cs="Arial"/>
          <w:caps/>
          <w:color w:val="F7941D"/>
          <w:sz w:val="36"/>
          <w:szCs w:val="36"/>
        </w:rPr>
        <w:t>– FORM CHECK Table</w:t>
      </w:r>
    </w:p>
    <w:bookmarkEnd w:id="0"/>
    <w:p w:rsidR="002E2A9A" w:rsidP="00A4029E" w:rsidRDefault="002E2A9A" w14:paraId="6EA494A7" w14:textId="57C04374">
      <w:pPr>
        <w:pStyle w:val="BodyText"/>
        <w:spacing w:after="0"/>
        <w:rPr>
          <w:rFonts w:ascii="Arial" w:hAnsi="Arial" w:cs="Arial"/>
          <w:sz w:val="28"/>
          <w:szCs w:val="28"/>
        </w:rPr>
      </w:pPr>
      <w:r w:rsidRPr="00B23C24">
        <w:rPr>
          <w:rFonts w:ascii="Arial" w:hAnsi="Arial" w:cs="Arial"/>
          <w:sz w:val="28"/>
          <w:szCs w:val="28"/>
        </w:rPr>
        <w:t>February 2022</w:t>
      </w:r>
    </w:p>
    <w:p w:rsidRPr="00A4029E" w:rsidR="00A4029E" w:rsidP="00E708F1" w:rsidRDefault="00A4029E" w14:paraId="05E88ECA" w14:textId="1605AD64">
      <w:pPr>
        <w:pStyle w:val="BodyText"/>
        <w:rPr>
          <w:rFonts w:ascii="Arial" w:hAnsi="Arial" w:cs="Arial"/>
          <w:sz w:val="20"/>
        </w:rPr>
      </w:pPr>
      <w:r w:rsidRPr="00A4029E">
        <w:rPr>
          <w:rFonts w:ascii="Arial" w:hAnsi="Arial" w:cs="Arial"/>
          <w:sz w:val="20"/>
        </w:rPr>
        <w:t>Updated February 21, 2022</w:t>
      </w:r>
    </w:p>
    <w:p w:rsidRPr="00DB5740" w:rsidR="002E2A9A" w:rsidP="00E708F1" w:rsidRDefault="002E2A9A" w14:paraId="17BDE2E9" w14:textId="0C981D40">
      <w:pPr>
        <w:pStyle w:val="Heading1"/>
        <w:keepNext w:val="0"/>
        <w:spacing w:before="0"/>
        <w:jc w:val="left"/>
        <w:rPr>
          <w:rFonts w:ascii="Arial" w:hAnsi="Arial" w:cs="Arial"/>
          <w:sz w:val="28"/>
          <w:szCs w:val="28"/>
        </w:rPr>
      </w:pPr>
      <w:bookmarkStart w:name="_Toc64868207" w:id="1"/>
      <w:r>
        <w:rPr>
          <w:rFonts w:ascii="Arial" w:hAnsi="Arial" w:cs="Arial"/>
          <w:sz w:val="28"/>
          <w:szCs w:val="28"/>
        </w:rPr>
        <w:t>Proxy Statement</w:t>
      </w:r>
      <w:r w:rsidRPr="00DB5740">
        <w:rPr>
          <w:rFonts w:ascii="Arial" w:hAnsi="Arial" w:cs="Arial"/>
          <w:sz w:val="28"/>
          <w:szCs w:val="28"/>
        </w:rPr>
        <w:t xml:space="preserve"> </w:t>
      </w:r>
      <w:bookmarkEnd w:id="1"/>
      <w:r w:rsidRPr="00DB5740">
        <w:rPr>
          <w:rFonts w:ascii="Arial" w:hAnsi="Arial" w:cs="Arial"/>
          <w:sz w:val="28"/>
          <w:szCs w:val="28"/>
        </w:rPr>
        <w:t>Form Check Table</w:t>
      </w:r>
    </w:p>
    <w:p w:rsidRPr="00DB5740" w:rsidR="002E2A9A" w:rsidP="00E708F1" w:rsidRDefault="002E2A9A" w14:paraId="01F869F3" w14:textId="4A82E0E8">
      <w:pPr>
        <w:pStyle w:val="BodyText"/>
        <w:rPr>
          <w:rFonts w:ascii="Arial" w:hAnsi="Arial" w:cs="Arial"/>
          <w:iCs/>
          <w:szCs w:val="24"/>
        </w:rPr>
      </w:pPr>
      <w:r w:rsidRPr="00DB5740">
        <w:rPr>
          <w:rFonts w:ascii="Arial" w:hAnsi="Arial" w:cs="Arial"/>
          <w:iCs/>
          <w:szCs w:val="24"/>
        </w:rPr>
        <w:t xml:space="preserve">This document has been prepared to assist </w:t>
      </w:r>
      <w:r>
        <w:rPr>
          <w:rFonts w:ascii="Arial" w:hAnsi="Arial" w:cs="Arial"/>
          <w:iCs/>
          <w:szCs w:val="24"/>
        </w:rPr>
        <w:t xml:space="preserve">with </w:t>
      </w:r>
      <w:r w:rsidRPr="00DB5740">
        <w:rPr>
          <w:rFonts w:ascii="Arial" w:hAnsi="Arial" w:cs="Arial"/>
          <w:iCs/>
          <w:szCs w:val="24"/>
        </w:rPr>
        <w:t xml:space="preserve">review of </w:t>
      </w:r>
      <w:r w:rsidR="00E60AAF">
        <w:rPr>
          <w:rFonts w:ascii="Arial" w:hAnsi="Arial" w:cs="Arial"/>
          <w:iCs/>
          <w:szCs w:val="24"/>
        </w:rPr>
        <w:t xml:space="preserve">a </w:t>
      </w:r>
      <w:r>
        <w:rPr>
          <w:rFonts w:ascii="Arial" w:hAnsi="Arial" w:cs="Arial"/>
          <w:iCs/>
          <w:szCs w:val="24"/>
        </w:rPr>
        <w:t xml:space="preserve">proxy statement on Schedule 14A </w:t>
      </w:r>
      <w:r w:rsidR="00E60AAF">
        <w:rPr>
          <w:rFonts w:ascii="Arial" w:hAnsi="Arial" w:cs="Arial"/>
          <w:iCs/>
          <w:szCs w:val="24"/>
        </w:rPr>
        <w:t xml:space="preserve">and the related proxy card </w:t>
      </w:r>
      <w:r w:rsidRPr="00DB5740">
        <w:rPr>
          <w:rFonts w:ascii="Arial" w:hAnsi="Arial" w:cs="Arial"/>
          <w:iCs/>
          <w:szCs w:val="24"/>
        </w:rPr>
        <w:t xml:space="preserve">filed </w:t>
      </w:r>
      <w:r>
        <w:rPr>
          <w:rFonts w:ascii="Arial" w:hAnsi="Arial" w:cs="Arial"/>
          <w:iCs/>
          <w:szCs w:val="24"/>
        </w:rPr>
        <w:t xml:space="preserve">with the Securities and Exchange Commission (SEC) </w:t>
      </w:r>
      <w:r w:rsidRPr="00DB5740">
        <w:rPr>
          <w:rFonts w:ascii="Arial" w:hAnsi="Arial" w:cs="Arial"/>
          <w:iCs/>
          <w:szCs w:val="24"/>
        </w:rPr>
        <w:t>by domestic public companies</w:t>
      </w:r>
      <w:r>
        <w:rPr>
          <w:rFonts w:ascii="Arial" w:hAnsi="Arial" w:cs="Arial"/>
          <w:iCs/>
          <w:szCs w:val="24"/>
        </w:rPr>
        <w:t>.</w:t>
      </w:r>
      <w:r w:rsidR="0011640B">
        <w:rPr>
          <w:rFonts w:ascii="Arial" w:hAnsi="Arial" w:cs="Arial"/>
          <w:iCs/>
          <w:szCs w:val="24"/>
        </w:rPr>
        <w:t xml:space="preserve"> </w:t>
      </w:r>
      <w:r>
        <w:rPr>
          <w:rFonts w:ascii="Arial" w:hAnsi="Arial" w:cs="Arial"/>
          <w:iCs/>
          <w:szCs w:val="24"/>
        </w:rPr>
        <w:t xml:space="preserve">This document is </w:t>
      </w:r>
      <w:r w:rsidR="00B12C61">
        <w:rPr>
          <w:rFonts w:ascii="Arial" w:hAnsi="Arial" w:cs="Arial"/>
          <w:iCs/>
          <w:szCs w:val="24"/>
        </w:rPr>
        <w:t xml:space="preserve">generally </w:t>
      </w:r>
      <w:r>
        <w:rPr>
          <w:rFonts w:ascii="Arial" w:hAnsi="Arial" w:cs="Arial"/>
          <w:iCs/>
          <w:szCs w:val="24"/>
        </w:rPr>
        <w:t xml:space="preserve">limited to disclosure required for </w:t>
      </w:r>
      <w:r w:rsidR="00C96494">
        <w:rPr>
          <w:rFonts w:ascii="Arial" w:hAnsi="Arial" w:cs="Arial"/>
          <w:iCs/>
          <w:szCs w:val="24"/>
        </w:rPr>
        <w:t xml:space="preserve">an uncontested solicitation of proxies by </w:t>
      </w:r>
      <w:r>
        <w:rPr>
          <w:rFonts w:ascii="Arial" w:hAnsi="Arial" w:cs="Arial"/>
          <w:iCs/>
          <w:szCs w:val="24"/>
        </w:rPr>
        <w:t xml:space="preserve">a company </w:t>
      </w:r>
      <w:r w:rsidR="00C96494">
        <w:rPr>
          <w:rFonts w:ascii="Arial" w:hAnsi="Arial" w:cs="Arial"/>
          <w:iCs/>
          <w:szCs w:val="24"/>
        </w:rPr>
        <w:t xml:space="preserve">in connection with its </w:t>
      </w:r>
      <w:r>
        <w:rPr>
          <w:rFonts w:ascii="Arial" w:hAnsi="Arial" w:cs="Arial"/>
          <w:iCs/>
          <w:szCs w:val="24"/>
        </w:rPr>
        <w:t>annual meeting of security holders at which security holders will elect directors, ratify the selection of the company</w:t>
      </w:r>
      <w:r w:rsidR="00113572">
        <w:rPr>
          <w:rFonts w:ascii="Arial" w:hAnsi="Arial" w:cs="Arial"/>
          <w:iCs/>
          <w:szCs w:val="24"/>
        </w:rPr>
        <w:t>’</w:t>
      </w:r>
      <w:r>
        <w:rPr>
          <w:rFonts w:ascii="Arial" w:hAnsi="Arial" w:cs="Arial"/>
          <w:iCs/>
          <w:szCs w:val="24"/>
        </w:rPr>
        <w:t xml:space="preserve">s auditor and approve a non-binding </w:t>
      </w:r>
      <w:r w:rsidR="00113572">
        <w:rPr>
          <w:rFonts w:ascii="Arial" w:hAnsi="Arial" w:cs="Arial"/>
          <w:iCs/>
          <w:szCs w:val="24"/>
        </w:rPr>
        <w:t>“</w:t>
      </w:r>
      <w:r>
        <w:rPr>
          <w:rFonts w:ascii="Arial" w:hAnsi="Arial" w:cs="Arial"/>
          <w:iCs/>
          <w:szCs w:val="24"/>
        </w:rPr>
        <w:t>say-on-pay</w:t>
      </w:r>
      <w:r w:rsidR="00113572">
        <w:rPr>
          <w:rFonts w:ascii="Arial" w:hAnsi="Arial" w:cs="Arial"/>
          <w:iCs/>
          <w:szCs w:val="24"/>
        </w:rPr>
        <w:t>”</w:t>
      </w:r>
      <w:r>
        <w:rPr>
          <w:rFonts w:ascii="Arial" w:hAnsi="Arial" w:cs="Arial"/>
          <w:iCs/>
          <w:szCs w:val="24"/>
        </w:rPr>
        <w:t xml:space="preserve"> </w:t>
      </w:r>
      <w:r w:rsidR="00E60AAF">
        <w:rPr>
          <w:rFonts w:ascii="Arial" w:hAnsi="Arial" w:cs="Arial"/>
          <w:iCs/>
          <w:szCs w:val="24"/>
        </w:rPr>
        <w:t xml:space="preserve">and/or </w:t>
      </w:r>
      <w:r w:rsidR="00113572">
        <w:rPr>
          <w:rFonts w:ascii="Arial" w:hAnsi="Arial" w:cs="Arial"/>
          <w:iCs/>
          <w:szCs w:val="24"/>
        </w:rPr>
        <w:t>“</w:t>
      </w:r>
      <w:r w:rsidR="00E60AAF">
        <w:rPr>
          <w:rFonts w:ascii="Arial" w:hAnsi="Arial" w:cs="Arial"/>
          <w:iCs/>
          <w:szCs w:val="24"/>
        </w:rPr>
        <w:t>say-on-frequency</w:t>
      </w:r>
      <w:r w:rsidR="00113572">
        <w:rPr>
          <w:rFonts w:ascii="Arial" w:hAnsi="Arial" w:cs="Arial"/>
          <w:iCs/>
          <w:szCs w:val="24"/>
        </w:rPr>
        <w:t>”</w:t>
      </w:r>
      <w:r w:rsidR="00E60AAF">
        <w:rPr>
          <w:rFonts w:ascii="Arial" w:hAnsi="Arial" w:cs="Arial"/>
          <w:iCs/>
          <w:szCs w:val="24"/>
        </w:rPr>
        <w:t xml:space="preserve"> </w:t>
      </w:r>
      <w:r>
        <w:rPr>
          <w:rFonts w:ascii="Arial" w:hAnsi="Arial" w:cs="Arial"/>
          <w:iCs/>
          <w:szCs w:val="24"/>
        </w:rPr>
        <w:t>resolution</w:t>
      </w:r>
      <w:r w:rsidR="00E60AAF">
        <w:rPr>
          <w:rFonts w:ascii="Arial" w:hAnsi="Arial" w:cs="Arial"/>
          <w:iCs/>
          <w:szCs w:val="24"/>
        </w:rPr>
        <w:t>.</w:t>
      </w:r>
      <w:r w:rsidR="00CF3580">
        <w:rPr>
          <w:rFonts w:ascii="Arial" w:hAnsi="Arial" w:cs="Arial"/>
          <w:iCs/>
          <w:szCs w:val="24"/>
        </w:rPr>
        <w:t xml:space="preserve"> </w:t>
      </w:r>
      <w:r w:rsidR="00E60AAF">
        <w:rPr>
          <w:rFonts w:ascii="Arial" w:hAnsi="Arial" w:cs="Arial"/>
          <w:iCs/>
          <w:szCs w:val="24"/>
        </w:rPr>
        <w:t xml:space="preserve">Where relevant it </w:t>
      </w:r>
      <w:r>
        <w:rPr>
          <w:rFonts w:ascii="Arial" w:hAnsi="Arial" w:cs="Arial"/>
          <w:iCs/>
          <w:szCs w:val="24"/>
        </w:rPr>
        <w:t>assumes a December 31 fiscal year end</w:t>
      </w:r>
      <w:r w:rsidRPr="00DB5740">
        <w:rPr>
          <w:rFonts w:ascii="Arial" w:hAnsi="Arial" w:cs="Arial"/>
          <w:iCs/>
          <w:szCs w:val="24"/>
        </w:rPr>
        <w:t>.</w:t>
      </w:r>
      <w:r w:rsidR="0011640B">
        <w:rPr>
          <w:rFonts w:ascii="Arial" w:hAnsi="Arial" w:cs="Arial"/>
          <w:iCs/>
          <w:szCs w:val="24"/>
        </w:rPr>
        <w:t xml:space="preserve"> </w:t>
      </w:r>
      <w:r w:rsidR="005E68D6">
        <w:rPr>
          <w:rFonts w:ascii="Arial" w:hAnsi="Arial" w:cs="Arial"/>
          <w:iCs/>
          <w:szCs w:val="24"/>
        </w:rPr>
        <w:t>Some of the</w:t>
      </w:r>
      <w:r w:rsidRPr="00DB5740">
        <w:rPr>
          <w:rFonts w:ascii="Arial" w:hAnsi="Arial" w:cs="Arial"/>
          <w:iCs/>
          <w:szCs w:val="24"/>
        </w:rPr>
        <w:t xml:space="preserve"> discussions </w:t>
      </w:r>
      <w:r w:rsidRPr="00DB5740" w:rsidR="00B12C61">
        <w:rPr>
          <w:rFonts w:ascii="Arial" w:hAnsi="Arial" w:cs="Arial"/>
          <w:iCs/>
          <w:szCs w:val="24"/>
        </w:rPr>
        <w:t xml:space="preserve">in this document </w:t>
      </w:r>
      <w:r w:rsidRPr="00DB5740">
        <w:rPr>
          <w:rFonts w:ascii="Arial" w:hAnsi="Arial" w:cs="Arial"/>
          <w:iCs/>
          <w:szCs w:val="24"/>
        </w:rPr>
        <w:t>of SEC rules, regulations, forms and other requirements, as well as applicable guidance and interpretations, are summaries</w:t>
      </w:r>
      <w:r w:rsidR="005E68D6">
        <w:rPr>
          <w:rFonts w:ascii="Arial" w:hAnsi="Arial" w:cs="Arial"/>
          <w:iCs/>
          <w:szCs w:val="24"/>
        </w:rPr>
        <w:t>.</w:t>
      </w:r>
      <w:r w:rsidR="00774D17">
        <w:rPr>
          <w:rFonts w:ascii="Arial" w:hAnsi="Arial" w:cs="Arial"/>
          <w:iCs/>
          <w:szCs w:val="24"/>
        </w:rPr>
        <w:t xml:space="preserve"> </w:t>
      </w:r>
      <w:r w:rsidR="005E68D6">
        <w:rPr>
          <w:rFonts w:ascii="Arial" w:hAnsi="Arial" w:cs="Arial"/>
          <w:iCs/>
          <w:szCs w:val="24"/>
        </w:rPr>
        <w:t>These summaries are</w:t>
      </w:r>
      <w:r w:rsidRPr="00DB5740">
        <w:rPr>
          <w:rFonts w:ascii="Arial" w:hAnsi="Arial" w:cs="Arial"/>
          <w:iCs/>
          <w:szCs w:val="24"/>
        </w:rPr>
        <w:t xml:space="preserve"> not a substitute for review of the actual text of SEC rules, regulations, forms and interpretations or the advice of qualified legal and accounting professionals.</w:t>
      </w:r>
      <w:r w:rsidR="0011640B">
        <w:rPr>
          <w:rFonts w:ascii="Arial" w:hAnsi="Arial" w:cs="Arial"/>
          <w:iCs/>
          <w:szCs w:val="24"/>
        </w:rPr>
        <w:t xml:space="preserve"> </w:t>
      </w:r>
      <w:r w:rsidRPr="00DB5740">
        <w:rPr>
          <w:rFonts w:ascii="Arial" w:hAnsi="Arial" w:cs="Arial"/>
          <w:iCs/>
          <w:szCs w:val="24"/>
        </w:rPr>
        <w:t>Please also note that</w:t>
      </w:r>
      <w:r w:rsidR="00E60AAF">
        <w:rPr>
          <w:rFonts w:ascii="Arial" w:hAnsi="Arial" w:cs="Arial"/>
          <w:iCs/>
          <w:szCs w:val="24"/>
        </w:rPr>
        <w:t xml:space="preserve"> this document does not address SEC proxy rules that apply to </w:t>
      </w:r>
      <w:r w:rsidRPr="00DB5740">
        <w:rPr>
          <w:rFonts w:ascii="Arial" w:hAnsi="Arial" w:cs="Arial"/>
          <w:iCs/>
          <w:szCs w:val="24"/>
        </w:rPr>
        <w:t xml:space="preserve">asset backed issuers, registered investment companies and </w:t>
      </w:r>
      <w:r>
        <w:rPr>
          <w:rFonts w:ascii="Arial" w:hAnsi="Arial" w:cs="Arial"/>
          <w:iCs/>
          <w:szCs w:val="24"/>
        </w:rPr>
        <w:t>some other issuers</w:t>
      </w:r>
      <w:r w:rsidR="00E60AAF">
        <w:rPr>
          <w:rFonts w:ascii="Arial" w:hAnsi="Arial" w:cs="Arial"/>
          <w:iCs/>
          <w:szCs w:val="24"/>
        </w:rPr>
        <w:t xml:space="preserve">, which </w:t>
      </w:r>
      <w:r w:rsidRPr="00DB5740">
        <w:rPr>
          <w:rFonts w:ascii="Arial" w:hAnsi="Arial" w:cs="Arial"/>
          <w:iCs/>
          <w:szCs w:val="24"/>
        </w:rPr>
        <w:t>in some cases differ significantly from those on which these tables are based.</w:t>
      </w:r>
    </w:p>
    <w:p w:rsidR="00C170D1" w:rsidP="00E708F1" w:rsidRDefault="00C170D1" w14:paraId="4A15DFF4" w14:textId="3CCE60FB">
      <w:pPr>
        <w:pStyle w:val="BodyText"/>
        <w:rPr>
          <w:rFonts w:ascii="Arial" w:hAnsi="Arial" w:cs="Arial"/>
          <w:szCs w:val="24"/>
        </w:rPr>
      </w:pPr>
      <w:r w:rsidRPr="00C170D1">
        <w:rPr>
          <w:rFonts w:ascii="Arial" w:hAnsi="Arial" w:cs="Arial"/>
          <w:szCs w:val="24"/>
        </w:rPr>
        <w:t xml:space="preserve">Key changes since the preceding year for companies with a December 31 calendar year-end, as well as selected compliance reminders, are summarized under </w:t>
      </w:r>
      <w:r w:rsidR="00113572">
        <w:rPr>
          <w:rFonts w:ascii="Arial" w:hAnsi="Arial" w:cs="Arial"/>
          <w:szCs w:val="24"/>
        </w:rPr>
        <w:t>“</w:t>
      </w:r>
      <w:r w:rsidRPr="00C170D1">
        <w:rPr>
          <w:rFonts w:ascii="Arial" w:hAnsi="Arial" w:cs="Arial"/>
          <w:szCs w:val="24"/>
        </w:rPr>
        <w:t>Important Updates and Reminders</w:t>
      </w:r>
      <w:r w:rsidR="00113572">
        <w:rPr>
          <w:rFonts w:ascii="Arial" w:hAnsi="Arial" w:cs="Arial"/>
          <w:szCs w:val="24"/>
        </w:rPr>
        <w:t>”</w:t>
      </w:r>
      <w:r w:rsidRPr="00C170D1">
        <w:rPr>
          <w:rFonts w:ascii="Arial" w:hAnsi="Arial" w:cs="Arial"/>
          <w:szCs w:val="24"/>
        </w:rPr>
        <w:t xml:space="preserve"> on the </w:t>
      </w:r>
      <w:r w:rsidR="00C96494">
        <w:rPr>
          <w:rFonts w:ascii="Arial" w:hAnsi="Arial" w:cs="Arial"/>
          <w:szCs w:val="24"/>
        </w:rPr>
        <w:t>immediately following pages</w:t>
      </w:r>
      <w:r w:rsidRPr="00C170D1">
        <w:rPr>
          <w:rFonts w:ascii="Arial" w:hAnsi="Arial" w:cs="Arial"/>
          <w:szCs w:val="24"/>
        </w:rPr>
        <w:t>.</w:t>
      </w:r>
    </w:p>
    <w:p w:rsidRPr="00DB5740" w:rsidR="002E2A9A" w:rsidP="00E708F1" w:rsidRDefault="002E2A9A" w14:paraId="1065A634" w14:textId="3FFF48E6">
      <w:pPr>
        <w:pStyle w:val="BodyText"/>
        <w:rPr>
          <w:rFonts w:ascii="Arial" w:hAnsi="Arial" w:cs="Arial"/>
          <w:i/>
          <w:szCs w:val="24"/>
        </w:rPr>
      </w:pPr>
      <w:r w:rsidRPr="00DB5740">
        <w:rPr>
          <w:rFonts w:ascii="Arial" w:hAnsi="Arial" w:cs="Arial"/>
          <w:b/>
          <w:szCs w:val="24"/>
        </w:rPr>
        <w:t>If you have received a copy of this document in Adobe Acrobat</w:t>
      </w:r>
      <w:r w:rsidRPr="00DB5740">
        <w:rPr>
          <w:rFonts w:ascii="Arial" w:hAnsi="Arial" w:cs="Arial"/>
          <w:b/>
          <w:szCs w:val="24"/>
          <w:vertAlign w:val="superscript"/>
        </w:rPr>
        <w:sym w:font="Symbol" w:char="F0D2"/>
      </w:r>
      <w:r w:rsidRPr="00DB5740">
        <w:rPr>
          <w:rFonts w:ascii="Arial" w:hAnsi="Arial" w:cs="Arial"/>
          <w:b/>
          <w:szCs w:val="24"/>
          <w:vertAlign w:val="superscript"/>
        </w:rPr>
        <w:t xml:space="preserve"> </w:t>
      </w:r>
      <w:r w:rsidRPr="00DB5740">
        <w:rPr>
          <w:rFonts w:ascii="Arial" w:hAnsi="Arial" w:cs="Arial"/>
          <w:b/>
          <w:szCs w:val="24"/>
        </w:rPr>
        <w:t>format and would like an editable copy in Microsoft Word</w:t>
      </w:r>
      <w:r w:rsidRPr="00DB5740">
        <w:rPr>
          <w:rFonts w:ascii="Arial" w:hAnsi="Arial" w:cs="Arial"/>
          <w:b/>
          <w:szCs w:val="24"/>
          <w:vertAlign w:val="superscript"/>
        </w:rPr>
        <w:sym w:font="Symbol" w:char="F0D2"/>
      </w:r>
      <w:r w:rsidRPr="00DB5740">
        <w:rPr>
          <w:rFonts w:ascii="Arial" w:hAnsi="Arial" w:cs="Arial"/>
          <w:b/>
          <w:szCs w:val="24"/>
        </w:rPr>
        <w:t xml:space="preserve"> format, please contact your regular Goodwin Procter attorney.</w:t>
      </w:r>
      <w:r w:rsidR="0011640B">
        <w:rPr>
          <w:rFonts w:ascii="Arial" w:hAnsi="Arial" w:cs="Arial"/>
          <w:b/>
          <w:szCs w:val="24"/>
        </w:rPr>
        <w:t xml:space="preserve"> </w:t>
      </w:r>
      <w:r w:rsidRPr="00DB5740">
        <w:rPr>
          <w:rFonts w:ascii="Arial" w:hAnsi="Arial" w:cs="Arial"/>
          <w:i/>
          <w:szCs w:val="24"/>
        </w:rPr>
        <w:t xml:space="preserve">This document is provided with the understanding that it does not constitute the rendering of legal advice or other professional advice by Goodwin Procter LLP or its attorneys. </w:t>
      </w:r>
    </w:p>
    <w:p w:rsidR="006A0D5C" w:rsidP="00E708F1" w:rsidRDefault="00713E62" w14:paraId="7311748F" w14:textId="77777777">
      <w:r>
        <w:br w:type="page"/>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Look w:val="0000" w:firstRow="0" w:lastRow="0" w:firstColumn="0" w:lastColumn="0" w:noHBand="0" w:noVBand="0"/>
      </w:tblPr>
      <w:tblGrid>
        <w:gridCol w:w="14390"/>
      </w:tblGrid>
      <w:tr w:rsidR="00083821" w:rsidTr="00C8657D" w14:paraId="0581DDBC" w14:textId="77777777">
        <w:trPr>
          <w:cantSplit/>
          <w:tblHeader/>
          <w:jc w:val="center"/>
        </w:trPr>
        <w:tc>
          <w:tcPr>
            <w:tcW w:w="14390" w:type="dxa"/>
            <w:tcBorders>
              <w:bottom w:val="single" w:color="auto" w:sz="4" w:space="0"/>
            </w:tcBorders>
            <w:shd w:val="clear" w:color="auto" w:fill="F79646" w:themeFill="accent6"/>
          </w:tcPr>
          <w:p w:rsidRPr="00732309" w:rsidR="004A3D43" w:rsidP="00980705" w:rsidRDefault="00CB6AAD" w14:paraId="434D6AD6" w14:textId="77777777">
            <w:pPr>
              <w:keepNext/>
              <w:keepLines/>
              <w:autoSpaceDE w:val="0"/>
              <w:autoSpaceDN w:val="0"/>
              <w:adjustRightInd w:val="0"/>
              <w:rPr>
                <w:b/>
                <w:bCs/>
                <w:caps/>
                <w:szCs w:val="22"/>
              </w:rPr>
            </w:pPr>
            <w:bookmarkStart w:name="_Hlt92444710" w:id="2"/>
            <w:bookmarkStart w:name="_Hlt92704247" w:id="3"/>
            <w:bookmarkEnd w:id="2"/>
            <w:bookmarkEnd w:id="3"/>
            <w:r>
              <w:lastRenderedPageBreak/>
              <w:br w:type="page"/>
            </w:r>
            <w:r w:rsidR="00713E62">
              <w:rPr>
                <w:b/>
                <w:bCs/>
                <w:caps/>
                <w:szCs w:val="22"/>
              </w:rPr>
              <w:t xml:space="preserve">IMPORTANT </w:t>
            </w:r>
            <w:r w:rsidR="00F47494">
              <w:rPr>
                <w:b/>
                <w:bCs/>
                <w:caps/>
                <w:szCs w:val="22"/>
              </w:rPr>
              <w:t xml:space="preserve">UPDATES AND </w:t>
            </w:r>
            <w:r w:rsidR="00713E62">
              <w:rPr>
                <w:b/>
                <w:bCs/>
                <w:caps/>
                <w:szCs w:val="22"/>
              </w:rPr>
              <w:t>REMINDERS</w:t>
            </w:r>
          </w:p>
        </w:tc>
      </w:tr>
      <w:tr w:rsidRPr="00E47B30" w:rsidR="00083821" w:rsidTr="00C8657D" w14:paraId="165E08F9" w14:textId="77777777">
        <w:trPr>
          <w:cantSplit/>
          <w:jc w:val="center"/>
        </w:trPr>
        <w:tc>
          <w:tcPr>
            <w:tcW w:w="14390" w:type="dxa"/>
            <w:tcBorders>
              <w:bottom w:val="single" w:color="auto" w:sz="4" w:space="0"/>
            </w:tcBorders>
            <w:shd w:val="clear" w:color="auto" w:fill="auto"/>
          </w:tcPr>
          <w:p w:rsidRPr="00E47B30" w:rsidR="00CB6AAD" w:rsidP="00363DE2" w:rsidRDefault="00713E62" w14:paraId="62241EF5" w14:textId="77777777">
            <w:pPr>
              <w:pStyle w:val="Heading1"/>
              <w:keepLines/>
              <w:spacing w:before="0"/>
              <w:jc w:val="left"/>
              <w:rPr>
                <w:szCs w:val="28"/>
                <w:u w:val="none"/>
              </w:rPr>
            </w:pPr>
            <w:bookmarkStart w:name="_Toc92793242" w:id="4"/>
            <w:r w:rsidRPr="00E47B30">
              <w:rPr>
                <w:szCs w:val="28"/>
                <w:u w:val="none"/>
              </w:rPr>
              <w:t>Proxy Statement Disclosure of Voting Options and Standards</w:t>
            </w:r>
            <w:bookmarkEnd w:id="4"/>
          </w:p>
          <w:p w:rsidRPr="00E47B30" w:rsidR="00D63DE7" w:rsidP="00363DE2" w:rsidRDefault="00351767" w14:paraId="1EC4768C" w14:textId="6798A7EC">
            <w:pPr>
              <w:keepNext/>
              <w:keepLines/>
              <w:spacing w:after="240"/>
              <w:rPr>
                <w:szCs w:val="22"/>
              </w:rPr>
            </w:pPr>
            <w:r w:rsidRPr="00E47B30">
              <w:rPr>
                <w:szCs w:val="22"/>
              </w:rPr>
              <w:t>The</w:t>
            </w:r>
            <w:r w:rsidRPr="00E47B30" w:rsidR="00713E62">
              <w:rPr>
                <w:szCs w:val="22"/>
              </w:rPr>
              <w:t xml:space="preserve"> SEC adopted </w:t>
            </w:r>
            <w:hyperlink w:history="1" r:id="rId8">
              <w:r w:rsidRPr="00E47B30" w:rsidR="00713E62">
                <w:rPr>
                  <w:rStyle w:val="Hyperlink"/>
                  <w:szCs w:val="22"/>
                </w:rPr>
                <w:t>mandatory universal proxy rules</w:t>
              </w:r>
            </w:hyperlink>
            <w:r w:rsidRPr="00E47B30" w:rsidR="00D32703">
              <w:rPr>
                <w:szCs w:val="22"/>
              </w:rPr>
              <w:t xml:space="preserve"> </w:t>
            </w:r>
            <w:r w:rsidRPr="00E47B30" w:rsidR="00713E62">
              <w:rPr>
                <w:szCs w:val="22"/>
              </w:rPr>
              <w:t>for proxy contests</w:t>
            </w:r>
            <w:r w:rsidRPr="00E47B30">
              <w:rPr>
                <w:szCs w:val="22"/>
              </w:rPr>
              <w:t xml:space="preserve"> in November 2021</w:t>
            </w:r>
            <w:r w:rsidRPr="00E47B30" w:rsidR="00713E62">
              <w:rPr>
                <w:szCs w:val="22"/>
              </w:rPr>
              <w:t xml:space="preserve">. </w:t>
            </w:r>
            <w:r w:rsidRPr="00E47B30" w:rsidR="00D32703">
              <w:rPr>
                <w:szCs w:val="22"/>
              </w:rPr>
              <w:t xml:space="preserve">The Goodwin alert, </w:t>
            </w:r>
            <w:hyperlink w:history="1" r:id="rId9">
              <w:r w:rsidRPr="00E47B30" w:rsidR="00D32703">
                <w:rPr>
                  <w:rStyle w:val="Hyperlink"/>
                  <w:szCs w:val="22"/>
                </w:rPr>
                <w:t>SEC Adopts Mandatory Universal Proxy Rules</w:t>
              </w:r>
            </w:hyperlink>
            <w:r w:rsidRPr="00E47B30" w:rsidR="00D32703">
              <w:rPr>
                <w:i/>
                <w:szCs w:val="22"/>
              </w:rPr>
              <w:t>,</w:t>
            </w:r>
            <w:r w:rsidRPr="00E47B30" w:rsidR="00D32703">
              <w:rPr>
                <w:szCs w:val="22"/>
              </w:rPr>
              <w:t xml:space="preserve"> </w:t>
            </w:r>
            <w:r w:rsidR="00C51BA8">
              <w:rPr>
                <w:szCs w:val="22"/>
              </w:rPr>
              <w:t>summarizes the new rules and our recommendations</w:t>
            </w:r>
            <w:r w:rsidRPr="00E47B30" w:rsidR="00D32703">
              <w:rPr>
                <w:szCs w:val="22"/>
              </w:rPr>
              <w:t xml:space="preserve">. </w:t>
            </w:r>
            <w:r w:rsidRPr="00E47B30" w:rsidR="00713E62">
              <w:rPr>
                <w:szCs w:val="22"/>
              </w:rPr>
              <w:t>This is a significant development for contested director elections and will result in all director nominees in a proxy contest appearing on both the company</w:t>
            </w:r>
            <w:r w:rsidR="00113572">
              <w:rPr>
                <w:szCs w:val="22"/>
              </w:rPr>
              <w:t>’</w:t>
            </w:r>
            <w:r w:rsidRPr="00E47B30" w:rsidR="00B86714">
              <w:rPr>
                <w:szCs w:val="22"/>
              </w:rPr>
              <w:t>s</w:t>
            </w:r>
            <w:r w:rsidRPr="00E47B30" w:rsidR="00713E62">
              <w:rPr>
                <w:szCs w:val="22"/>
              </w:rPr>
              <w:t xml:space="preserve"> and the </w:t>
            </w:r>
            <w:r w:rsidR="00BB4EAB">
              <w:rPr>
                <w:szCs w:val="22"/>
              </w:rPr>
              <w:t>dissident</w:t>
            </w:r>
            <w:r w:rsidR="00113572">
              <w:rPr>
                <w:szCs w:val="22"/>
              </w:rPr>
              <w:t>’</w:t>
            </w:r>
            <w:r w:rsidRPr="00E47B30" w:rsidR="00B86714">
              <w:rPr>
                <w:szCs w:val="22"/>
              </w:rPr>
              <w:t>s</w:t>
            </w:r>
            <w:r w:rsidRPr="00E47B30" w:rsidR="00713E62">
              <w:rPr>
                <w:szCs w:val="22"/>
              </w:rPr>
              <w:t xml:space="preserve"> proxy</w:t>
            </w:r>
            <w:r w:rsidRPr="00E47B30" w:rsidR="00B86714">
              <w:rPr>
                <w:szCs w:val="22"/>
              </w:rPr>
              <w:t xml:space="preserve"> </w:t>
            </w:r>
            <w:r w:rsidRPr="00E47B30" w:rsidR="00713E62">
              <w:rPr>
                <w:szCs w:val="22"/>
              </w:rPr>
              <w:t>card.</w:t>
            </w:r>
            <w:r w:rsidR="0011640B">
              <w:rPr>
                <w:szCs w:val="22"/>
              </w:rPr>
              <w:t xml:space="preserve"> </w:t>
            </w:r>
            <w:r w:rsidRPr="00E47B30" w:rsidR="00713E62">
              <w:rPr>
                <w:szCs w:val="22"/>
              </w:rPr>
              <w:t>The new rules apply to all annual meetings held after August 31, 2022.</w:t>
            </w:r>
          </w:p>
          <w:p w:rsidRPr="00E47B30" w:rsidR="00D63DE7" w:rsidP="00363DE2" w:rsidRDefault="00351767" w14:paraId="72048EA8" w14:textId="03EC4384">
            <w:pPr>
              <w:keepNext/>
              <w:keepLines/>
              <w:spacing w:after="240"/>
              <w:rPr>
                <w:szCs w:val="22"/>
              </w:rPr>
            </w:pPr>
            <w:r w:rsidRPr="00E47B30">
              <w:rPr>
                <w:b/>
                <w:bCs/>
                <w:i/>
                <w:iCs/>
                <w:szCs w:val="22"/>
              </w:rPr>
              <w:t>Voting Options and Standards Disclosure.</w:t>
            </w:r>
            <w:r w:rsidR="0011640B">
              <w:rPr>
                <w:b/>
                <w:bCs/>
                <w:i/>
                <w:iCs/>
                <w:szCs w:val="22"/>
              </w:rPr>
              <w:t xml:space="preserve"> </w:t>
            </w:r>
            <w:r w:rsidRPr="00E47B30" w:rsidR="00713E62">
              <w:rPr>
                <w:szCs w:val="22"/>
              </w:rPr>
              <w:t xml:space="preserve">The amendments </w:t>
            </w:r>
            <w:r w:rsidRPr="00E47B30" w:rsidR="00862C60">
              <w:rPr>
                <w:szCs w:val="22"/>
              </w:rPr>
              <w:t>a</w:t>
            </w:r>
            <w:r w:rsidR="00DE4615">
              <w:rPr>
                <w:szCs w:val="22"/>
              </w:rPr>
              <w:t>dopted concurrently with the universal proxy rules a</w:t>
            </w:r>
            <w:r w:rsidRPr="00E47B30" w:rsidR="00862C60">
              <w:rPr>
                <w:szCs w:val="22"/>
              </w:rPr>
              <w:t xml:space="preserve">lso </w:t>
            </w:r>
            <w:r w:rsidRPr="00E47B30" w:rsidR="00713E62">
              <w:rPr>
                <w:szCs w:val="22"/>
              </w:rPr>
              <w:t>include new requirements with respect to proxy statement disclosure about voting options and voting standards that will apply to all proxy statements that include the election of directors. When the amendments become effective, SEC rules will require disclosure about the impact of voting choices in director elections</w:t>
            </w:r>
            <w:r w:rsidRPr="00E47B30" w:rsidR="00862C60">
              <w:rPr>
                <w:szCs w:val="22"/>
              </w:rPr>
              <w:t xml:space="preserve">, including </w:t>
            </w:r>
            <w:r w:rsidRPr="00E47B30" w:rsidR="00713E62">
              <w:rPr>
                <w:szCs w:val="22"/>
              </w:rPr>
              <w:t>specific requirements and prohibitions with respect to voting options on proxy cards</w:t>
            </w:r>
            <w:r w:rsidR="00081BB3">
              <w:rPr>
                <w:szCs w:val="22"/>
              </w:rPr>
              <w:t xml:space="preserve">:  </w:t>
            </w:r>
          </w:p>
          <w:p w:rsidRPr="00E47B30" w:rsidR="00F47494" w:rsidP="00363DE2" w:rsidRDefault="00713E62" w14:paraId="73B30D14" w14:textId="77777777">
            <w:pPr>
              <w:keepNext/>
              <w:keepLines/>
              <w:numPr>
                <w:ilvl w:val="0"/>
                <w:numId w:val="15"/>
              </w:numPr>
              <w:spacing w:after="240"/>
              <w:rPr>
                <w:szCs w:val="22"/>
              </w:rPr>
            </w:pPr>
            <w:r w:rsidRPr="00E47B30">
              <w:rPr>
                <w:szCs w:val="22"/>
              </w:rPr>
              <w:t xml:space="preserve">When applicable state law gives legal effect to votes cast against a nominee, the proxy card must provide a means for shareholders to vote against each nominee and a means for shareholders to abstain from voting, rather than providing a means to withhold authority to vote. </w:t>
            </w:r>
          </w:p>
          <w:p w:rsidRPr="00E47B30" w:rsidR="00F47494" w:rsidP="00363DE2" w:rsidRDefault="00713E62" w14:paraId="3709BF70" w14:textId="77777777">
            <w:pPr>
              <w:keepNext/>
              <w:keepLines/>
              <w:numPr>
                <w:ilvl w:val="0"/>
                <w:numId w:val="15"/>
              </w:numPr>
              <w:spacing w:after="240"/>
              <w:rPr>
                <w:szCs w:val="22"/>
              </w:rPr>
            </w:pPr>
            <w:r w:rsidRPr="00E47B30">
              <w:rPr>
                <w:szCs w:val="22"/>
              </w:rPr>
              <w:t xml:space="preserve">When applicable state law </w:t>
            </w:r>
            <w:r w:rsidRPr="00E47B30">
              <w:rPr>
                <w:szCs w:val="22"/>
                <w:u w:val="single"/>
              </w:rPr>
              <w:t>does not</w:t>
            </w:r>
            <w:r w:rsidRPr="00E47B30">
              <w:rPr>
                <w:szCs w:val="22"/>
              </w:rPr>
              <w:t xml:space="preserve"> give legal effect to votes cast against a nominee, the proxy card shall not provide a means for shareholders to vote against any nominee. Instead, the proxy card must clearly provide one of the four means specified in Rule </w:t>
            </w:r>
            <w:proofErr w:type="spellStart"/>
            <w:r w:rsidRPr="00E47B30">
              <w:rPr>
                <w:szCs w:val="22"/>
              </w:rPr>
              <w:t>14a</w:t>
            </w:r>
            <w:proofErr w:type="spellEnd"/>
            <w:r w:rsidRPr="00E47B30">
              <w:rPr>
                <w:szCs w:val="22"/>
              </w:rPr>
              <w:t>-4(b) for shareholders to withhold authority to vote for each nominee.</w:t>
            </w:r>
          </w:p>
          <w:p w:rsidRPr="00E47B30" w:rsidR="00F47494" w:rsidP="00363DE2" w:rsidRDefault="00713E62" w14:paraId="0C01F93E" w14:textId="480806CA">
            <w:pPr>
              <w:keepNext/>
              <w:keepLines/>
              <w:numPr>
                <w:ilvl w:val="0"/>
                <w:numId w:val="15"/>
              </w:numPr>
              <w:spacing w:after="240"/>
              <w:rPr>
                <w:szCs w:val="22"/>
              </w:rPr>
            </w:pPr>
            <w:r w:rsidRPr="00E47B30">
              <w:rPr>
                <w:szCs w:val="22"/>
              </w:rPr>
              <w:t>The proxy statement must disclose how votes will be counted, including the treatment and effect abstentions, broker non-votes, and, to the extent applicable, withholding authority to vote for a nominee in an election of directors under applicable state law and a company</w:t>
            </w:r>
            <w:r w:rsidR="00113572">
              <w:rPr>
                <w:szCs w:val="22"/>
              </w:rPr>
              <w:t>’</w:t>
            </w:r>
            <w:r w:rsidRPr="00E47B30" w:rsidR="00B86714">
              <w:rPr>
                <w:szCs w:val="22"/>
              </w:rPr>
              <w:t>s</w:t>
            </w:r>
            <w:r w:rsidRPr="00E47B30">
              <w:rPr>
                <w:szCs w:val="22"/>
              </w:rPr>
              <w:t xml:space="preserve"> organizational documents.</w:t>
            </w:r>
          </w:p>
          <w:p w:rsidRPr="00E47B30" w:rsidR="00F47494" w:rsidP="00363DE2" w:rsidRDefault="00713E62" w14:paraId="5F1CB8CD" w14:textId="39B38543">
            <w:pPr>
              <w:keepNext/>
              <w:keepLines/>
              <w:spacing w:after="240"/>
              <w:rPr>
                <w:b/>
                <w:bCs/>
                <w:szCs w:val="22"/>
              </w:rPr>
            </w:pPr>
            <w:r w:rsidRPr="00E47B30">
              <w:rPr>
                <w:b/>
                <w:bCs/>
                <w:szCs w:val="22"/>
              </w:rPr>
              <w:t xml:space="preserve">Although these amendments will not apply to proxy statements for shareholder meetings held before September 1, 2022, the accuracy and </w:t>
            </w:r>
            <w:r w:rsidRPr="00E47B30" w:rsidR="00351767">
              <w:rPr>
                <w:b/>
                <w:bCs/>
                <w:szCs w:val="22"/>
              </w:rPr>
              <w:t>completeness</w:t>
            </w:r>
            <w:r w:rsidRPr="00E47B30">
              <w:rPr>
                <w:b/>
                <w:bCs/>
                <w:szCs w:val="22"/>
              </w:rPr>
              <w:t xml:space="preserve"> of</w:t>
            </w:r>
            <w:r w:rsidRPr="00E47B30" w:rsidR="00351767">
              <w:rPr>
                <w:b/>
                <w:bCs/>
                <w:szCs w:val="22"/>
              </w:rPr>
              <w:t xml:space="preserve"> this disclosure in</w:t>
            </w:r>
            <w:r w:rsidRPr="00E47B30" w:rsidR="00862C60">
              <w:rPr>
                <w:b/>
                <w:bCs/>
                <w:szCs w:val="22"/>
              </w:rPr>
              <w:t xml:space="preserve"> </w:t>
            </w:r>
            <w:r w:rsidRPr="00E47B30">
              <w:rPr>
                <w:b/>
                <w:bCs/>
                <w:szCs w:val="22"/>
              </w:rPr>
              <w:t>proxy statement</w:t>
            </w:r>
            <w:r w:rsidRPr="00E47B30" w:rsidR="00351767">
              <w:rPr>
                <w:b/>
                <w:bCs/>
                <w:szCs w:val="22"/>
              </w:rPr>
              <w:t>s</w:t>
            </w:r>
            <w:r w:rsidRPr="00E47B30">
              <w:rPr>
                <w:b/>
                <w:bCs/>
                <w:szCs w:val="22"/>
              </w:rPr>
              <w:t xml:space="preserve"> and proxy </w:t>
            </w:r>
            <w:r w:rsidRPr="00E47B30" w:rsidR="00351767">
              <w:rPr>
                <w:b/>
                <w:bCs/>
                <w:szCs w:val="22"/>
              </w:rPr>
              <w:t>cards</w:t>
            </w:r>
            <w:r w:rsidRPr="00E47B30">
              <w:rPr>
                <w:b/>
                <w:bCs/>
                <w:szCs w:val="22"/>
              </w:rPr>
              <w:t xml:space="preserve"> </w:t>
            </w:r>
            <w:r w:rsidRPr="00E47B30" w:rsidR="00351767">
              <w:rPr>
                <w:b/>
                <w:bCs/>
                <w:szCs w:val="22"/>
              </w:rPr>
              <w:t>for spring 2022 annual meetings</w:t>
            </w:r>
            <w:r w:rsidRPr="00E47B30">
              <w:rPr>
                <w:b/>
                <w:bCs/>
                <w:szCs w:val="22"/>
              </w:rPr>
              <w:t xml:space="preserve"> </w:t>
            </w:r>
            <w:r w:rsidRPr="00E47B30" w:rsidR="00351767">
              <w:rPr>
                <w:b/>
                <w:bCs/>
                <w:szCs w:val="22"/>
              </w:rPr>
              <w:t xml:space="preserve">should be reviewed. </w:t>
            </w:r>
            <w:r w:rsidRPr="00E47B30">
              <w:rPr>
                <w:b/>
                <w:bCs/>
                <w:szCs w:val="22"/>
              </w:rPr>
              <w:t xml:space="preserve"> </w:t>
            </w:r>
          </w:p>
          <w:p w:rsidRPr="00E47B30" w:rsidR="00CB6AAD" w:rsidP="00363DE2" w:rsidRDefault="00713E62" w14:paraId="1E895A68" w14:textId="04747973">
            <w:pPr>
              <w:keepNext/>
              <w:keepLines/>
              <w:spacing w:after="240"/>
              <w:rPr>
                <w:b/>
                <w:bCs/>
                <w:szCs w:val="22"/>
              </w:rPr>
            </w:pPr>
            <w:r w:rsidRPr="00E47B30">
              <w:rPr>
                <w:b/>
                <w:bCs/>
                <w:i/>
                <w:iCs/>
                <w:szCs w:val="22"/>
              </w:rPr>
              <w:t>Shareholder Nomination Procedures Disclosure</w:t>
            </w:r>
            <w:r w:rsidRPr="00E47B30">
              <w:rPr>
                <w:b/>
                <w:bCs/>
                <w:szCs w:val="22"/>
              </w:rPr>
              <w:t xml:space="preserve">. </w:t>
            </w:r>
            <w:r w:rsidRPr="00E47B30" w:rsidR="00AD3EE3">
              <w:rPr>
                <w:szCs w:val="22"/>
              </w:rPr>
              <w:t xml:space="preserve">New Rule </w:t>
            </w:r>
            <w:proofErr w:type="spellStart"/>
            <w:r w:rsidRPr="00E47B30" w:rsidR="00AD3EE3">
              <w:rPr>
                <w:szCs w:val="22"/>
              </w:rPr>
              <w:t>14a</w:t>
            </w:r>
            <w:proofErr w:type="spellEnd"/>
            <w:r w:rsidRPr="00E47B30" w:rsidR="00AD3EE3">
              <w:rPr>
                <w:szCs w:val="22"/>
              </w:rPr>
              <w:t>-5(e)(4) requires that the</w:t>
            </w:r>
            <w:r w:rsidRPr="00E47B30" w:rsidR="00351767">
              <w:rPr>
                <w:szCs w:val="22"/>
              </w:rPr>
              <w:t xml:space="preserve"> company</w:t>
            </w:r>
            <w:r w:rsidR="00113572">
              <w:rPr>
                <w:szCs w:val="22"/>
              </w:rPr>
              <w:t>’</w:t>
            </w:r>
            <w:r w:rsidRPr="00E47B30" w:rsidR="00351767">
              <w:rPr>
                <w:szCs w:val="22"/>
              </w:rPr>
              <w:t>s proxy statement must disclose the deadline for providing</w:t>
            </w:r>
            <w:r w:rsidRPr="00E47B30" w:rsidR="00AD3EE3">
              <w:rPr>
                <w:szCs w:val="22"/>
              </w:rPr>
              <w:t xml:space="preserve"> timely</w:t>
            </w:r>
            <w:r w:rsidRPr="00E47B30" w:rsidR="00351767">
              <w:rPr>
                <w:szCs w:val="22"/>
              </w:rPr>
              <w:t xml:space="preserve"> notice of a solicitation of proxies in support of director nominees, other than the company</w:t>
            </w:r>
            <w:r w:rsidR="00113572">
              <w:rPr>
                <w:szCs w:val="22"/>
              </w:rPr>
              <w:t>’</w:t>
            </w:r>
            <w:r w:rsidRPr="00E47B30" w:rsidR="00351767">
              <w:rPr>
                <w:szCs w:val="22"/>
              </w:rPr>
              <w:t xml:space="preserve">s nominees, </w:t>
            </w:r>
            <w:r w:rsidRPr="00E47B30" w:rsidR="00AD3EE3">
              <w:rPr>
                <w:szCs w:val="22"/>
              </w:rPr>
              <w:t xml:space="preserve">in a </w:t>
            </w:r>
            <w:r w:rsidRPr="00E47B30" w:rsidR="00351767">
              <w:rPr>
                <w:szCs w:val="22"/>
              </w:rPr>
              <w:t xml:space="preserve">proxy solicitation under Rule </w:t>
            </w:r>
            <w:proofErr w:type="spellStart"/>
            <w:r w:rsidRPr="00E47B30" w:rsidR="00351767">
              <w:rPr>
                <w:szCs w:val="22"/>
              </w:rPr>
              <w:t>14a</w:t>
            </w:r>
            <w:proofErr w:type="spellEnd"/>
            <w:r w:rsidRPr="00E47B30" w:rsidR="00351767">
              <w:rPr>
                <w:szCs w:val="22"/>
              </w:rPr>
              <w:t>-19</w:t>
            </w:r>
            <w:r w:rsidRPr="00E47B30" w:rsidR="00AD3EE3">
              <w:rPr>
                <w:szCs w:val="22"/>
              </w:rPr>
              <w:t>, the new universal proxy rule,</w:t>
            </w:r>
            <w:r w:rsidRPr="00E47B30" w:rsidR="00351767">
              <w:rPr>
                <w:szCs w:val="22"/>
              </w:rPr>
              <w:t xml:space="preserve"> for the company</w:t>
            </w:r>
            <w:r w:rsidR="00113572">
              <w:rPr>
                <w:szCs w:val="22"/>
              </w:rPr>
              <w:t>’</w:t>
            </w:r>
            <w:r w:rsidRPr="00E47B30" w:rsidR="00351767">
              <w:rPr>
                <w:szCs w:val="22"/>
              </w:rPr>
              <w:t xml:space="preserve">s next annual </w:t>
            </w:r>
            <w:r w:rsidRPr="00D22826" w:rsidR="00351767">
              <w:rPr>
                <w:szCs w:val="22"/>
              </w:rPr>
              <w:t>meeting.</w:t>
            </w:r>
            <w:r w:rsidRPr="00D22826" w:rsidR="0011640B">
              <w:rPr>
                <w:szCs w:val="22"/>
              </w:rPr>
              <w:t xml:space="preserve"> </w:t>
            </w:r>
            <w:r w:rsidRPr="00D22826" w:rsidR="00D22826">
              <w:rPr>
                <w:szCs w:val="22"/>
                <w:shd w:val="clear" w:color="auto" w:fill="FFFFFF"/>
              </w:rPr>
              <w:t>Because universal proxy will apply to contested director elections at all 2023 annual meetings, we recommend including disclosure regarding the universal proxy deadline </w:t>
            </w:r>
            <w:r w:rsidRPr="00D22826" w:rsidR="00D22826">
              <w:rPr>
                <w:rStyle w:val="Emphasis"/>
                <w:b/>
                <w:bCs/>
                <w:szCs w:val="22"/>
                <w:u w:val="single"/>
                <w:shd w:val="clear" w:color="auto" w:fill="FFFFFF"/>
              </w:rPr>
              <w:t>in this year</w:t>
            </w:r>
            <w:r w:rsidR="00113572">
              <w:rPr>
                <w:rStyle w:val="Emphasis"/>
                <w:b/>
                <w:bCs/>
                <w:szCs w:val="22"/>
                <w:u w:val="single"/>
                <w:shd w:val="clear" w:color="auto" w:fill="FFFFFF"/>
              </w:rPr>
              <w:t>’</w:t>
            </w:r>
            <w:r w:rsidRPr="00D22826" w:rsidR="00D22826">
              <w:rPr>
                <w:rStyle w:val="Emphasis"/>
                <w:b/>
                <w:bCs/>
                <w:szCs w:val="22"/>
                <w:u w:val="single"/>
                <w:shd w:val="clear" w:color="auto" w:fill="FFFFFF"/>
              </w:rPr>
              <w:t>s proxy statement</w:t>
            </w:r>
            <w:r w:rsidRPr="00D22826" w:rsidR="00D22826">
              <w:rPr>
                <w:szCs w:val="22"/>
                <w:shd w:val="clear" w:color="auto" w:fill="FFFFFF"/>
              </w:rPr>
              <w:t>, including for companies that hold their annual meeting well in advance of the September 1, 2022 mandatory compliance date. Sample disclosure for this purpose could be as follows</w:t>
            </w:r>
            <w:r w:rsidR="00081BB3">
              <w:rPr>
                <w:szCs w:val="22"/>
                <w:shd w:val="clear" w:color="auto" w:fill="FFFFFF"/>
              </w:rPr>
              <w:t xml:space="preserve">:  </w:t>
            </w:r>
            <w:r w:rsidR="00113572">
              <w:rPr>
                <w:szCs w:val="22"/>
                <w:shd w:val="clear" w:color="auto" w:fill="FFFFFF"/>
              </w:rPr>
              <w:t>“</w:t>
            </w:r>
            <w:r w:rsidRPr="00CF3580" w:rsidR="00CF3580">
              <w:rPr>
                <w:i/>
                <w:iCs/>
                <w:szCs w:val="22"/>
                <w:shd w:val="clear" w:color="auto" w:fill="FFFFFF"/>
              </w:rPr>
              <w:t>T</w:t>
            </w:r>
            <w:r w:rsidRPr="00D22826" w:rsidR="00D22826">
              <w:rPr>
                <w:rStyle w:val="Emphasis"/>
                <w:szCs w:val="22"/>
                <w:shd w:val="clear" w:color="auto" w:fill="FFFFFF"/>
              </w:rPr>
              <w:t xml:space="preserve">o comply with the universal proxy rules (once effective), stockholders who intend to solicit proxies in support of director nominees other than the </w:t>
            </w:r>
            <w:r w:rsidR="00CF3580">
              <w:rPr>
                <w:rStyle w:val="Emphasis"/>
                <w:szCs w:val="22"/>
                <w:shd w:val="clear" w:color="auto" w:fill="FFFFFF"/>
              </w:rPr>
              <w:t>C</w:t>
            </w:r>
            <w:r w:rsidRPr="00D22826" w:rsidR="00D22826">
              <w:rPr>
                <w:rStyle w:val="Emphasis"/>
                <w:szCs w:val="22"/>
                <w:shd w:val="clear" w:color="auto" w:fill="FFFFFF"/>
              </w:rPr>
              <w:t>ompany</w:t>
            </w:r>
            <w:r w:rsidR="00113572">
              <w:rPr>
                <w:rStyle w:val="Emphasis"/>
                <w:szCs w:val="22"/>
                <w:shd w:val="clear" w:color="auto" w:fill="FFFFFF"/>
              </w:rPr>
              <w:t>’</w:t>
            </w:r>
            <w:r w:rsidRPr="00D22826" w:rsidR="00D22826">
              <w:rPr>
                <w:rStyle w:val="Emphasis"/>
                <w:szCs w:val="22"/>
                <w:shd w:val="clear" w:color="auto" w:fill="FFFFFF"/>
              </w:rPr>
              <w:t xml:space="preserve">s nominees must provide notice that sets forth the information required by Rule </w:t>
            </w:r>
            <w:proofErr w:type="spellStart"/>
            <w:r w:rsidRPr="00D22826" w:rsidR="00D22826">
              <w:rPr>
                <w:rStyle w:val="Emphasis"/>
                <w:szCs w:val="22"/>
                <w:shd w:val="clear" w:color="auto" w:fill="FFFFFF"/>
              </w:rPr>
              <w:t>14a</w:t>
            </w:r>
            <w:proofErr w:type="spellEnd"/>
            <w:r w:rsidRPr="00D22826" w:rsidR="00D22826">
              <w:rPr>
                <w:rStyle w:val="Emphasis"/>
                <w:szCs w:val="22"/>
                <w:shd w:val="clear" w:color="auto" w:fill="FFFFFF"/>
              </w:rPr>
              <w:t xml:space="preserve">-19 under the </w:t>
            </w:r>
            <w:r w:rsidR="00CF3580">
              <w:rPr>
                <w:rStyle w:val="Emphasis"/>
                <w:szCs w:val="22"/>
                <w:shd w:val="clear" w:color="auto" w:fill="FFFFFF"/>
              </w:rPr>
              <w:t xml:space="preserve">Securities </w:t>
            </w:r>
            <w:r w:rsidRPr="00D22826" w:rsidR="00D22826">
              <w:rPr>
                <w:rStyle w:val="Emphasis"/>
                <w:szCs w:val="22"/>
                <w:shd w:val="clear" w:color="auto" w:fill="FFFFFF"/>
              </w:rPr>
              <w:t>Exchange Act</w:t>
            </w:r>
            <w:r w:rsidR="00CF3580">
              <w:rPr>
                <w:rStyle w:val="Emphasis"/>
                <w:szCs w:val="22"/>
                <w:shd w:val="clear" w:color="auto" w:fill="FFFFFF"/>
              </w:rPr>
              <w:t xml:space="preserve"> of 1934</w:t>
            </w:r>
            <w:r w:rsidRPr="00D22826" w:rsidR="00D22826">
              <w:rPr>
                <w:rStyle w:val="Emphasis"/>
                <w:szCs w:val="22"/>
                <w:shd w:val="clear" w:color="auto" w:fill="FFFFFF"/>
              </w:rPr>
              <w:t xml:space="preserve"> no later than [INSERT DATE THAT IS 60 DAYS PRIOR TO ONE YEAR ANNIVERSARY OF 2022 ANNUAL MEETING]</w:t>
            </w:r>
            <w:r w:rsidRPr="00D22826" w:rsidR="00D22826">
              <w:rPr>
                <w:szCs w:val="22"/>
                <w:shd w:val="clear" w:color="auto" w:fill="FFFFFF"/>
              </w:rPr>
              <w:t>.</w:t>
            </w:r>
            <w:r w:rsidR="00113572">
              <w:rPr>
                <w:szCs w:val="22"/>
                <w:shd w:val="clear" w:color="auto" w:fill="FFFFFF"/>
              </w:rPr>
              <w:t>”</w:t>
            </w:r>
            <w:r w:rsidRPr="00D22826" w:rsidR="00D22826">
              <w:rPr>
                <w:szCs w:val="22"/>
                <w:shd w:val="clear" w:color="auto" w:fill="FFFFFF"/>
              </w:rPr>
              <w:t>  This additional voluntary disclosure could be particularly useful for companies with no advance notice bylaws or with advance notice bylaws that provide a notice deadline of less than 60 days prior to the meeting, and could also be useful for companies that have longer advance notice deadlines, but move their meeting date and thereby create new accelerated deadlines.</w:t>
            </w:r>
          </w:p>
        </w:tc>
      </w:tr>
      <w:tr w:rsidRPr="00E47B30" w:rsidR="00083821" w:rsidTr="00C8657D" w14:paraId="0B63C4C0" w14:textId="77777777">
        <w:trPr>
          <w:cantSplit/>
          <w:jc w:val="center"/>
        </w:trPr>
        <w:tc>
          <w:tcPr>
            <w:tcW w:w="14390" w:type="dxa"/>
            <w:tcBorders>
              <w:bottom w:val="single" w:color="auto" w:sz="4" w:space="0"/>
            </w:tcBorders>
            <w:shd w:val="clear" w:color="auto" w:fill="auto"/>
          </w:tcPr>
          <w:p w:rsidRPr="00E47B30" w:rsidR="00F47494" w:rsidP="00363DE2" w:rsidRDefault="00713E62" w14:paraId="308AECFC" w14:textId="77777777">
            <w:pPr>
              <w:pStyle w:val="Heading1"/>
              <w:spacing w:before="0"/>
              <w:jc w:val="left"/>
              <w:rPr>
                <w:szCs w:val="28"/>
                <w:u w:val="none"/>
              </w:rPr>
            </w:pPr>
            <w:bookmarkStart w:name="_Toc92793243" w:id="5"/>
            <w:r w:rsidRPr="00E47B30">
              <w:rPr>
                <w:szCs w:val="28"/>
                <w:u w:val="none"/>
              </w:rPr>
              <w:lastRenderedPageBreak/>
              <w:t>Nasdaq Diversity Disclosure Rules</w:t>
            </w:r>
            <w:bookmarkEnd w:id="5"/>
          </w:p>
          <w:p w:rsidRPr="00E47B30" w:rsidR="00F47494" w:rsidP="00363DE2" w:rsidRDefault="00713E62" w14:paraId="5CB23FAF" w14:textId="40019AE6">
            <w:pPr>
              <w:spacing w:after="240"/>
              <w:rPr>
                <w:rFonts w:cs="Arial"/>
                <w:szCs w:val="22"/>
              </w:rPr>
            </w:pPr>
            <w:r w:rsidRPr="00E47B30">
              <w:rPr>
                <w:rFonts w:cs="Arial"/>
                <w:szCs w:val="22"/>
              </w:rPr>
              <w:t xml:space="preserve">On August 6, 2021, the SEC approved </w:t>
            </w:r>
            <w:hyperlink w:history="1" r:id="rId10">
              <w:r w:rsidR="00DE4615">
                <w:rPr>
                  <w:rStyle w:val="Hyperlink"/>
                  <w:rFonts w:cs="Arial"/>
                  <w:szCs w:val="22"/>
                </w:rPr>
                <w:t>Nasdaq</w:t>
              </w:r>
              <w:r w:rsidR="00113572">
                <w:rPr>
                  <w:rStyle w:val="Hyperlink"/>
                  <w:rFonts w:cs="Arial"/>
                  <w:szCs w:val="22"/>
                </w:rPr>
                <w:t>’</w:t>
              </w:r>
              <w:r w:rsidR="00DE4615">
                <w:rPr>
                  <w:rStyle w:val="Hyperlink"/>
                  <w:rFonts w:cs="Arial"/>
                  <w:szCs w:val="22"/>
                </w:rPr>
                <w:t>s Board Diversity Rules</w:t>
              </w:r>
            </w:hyperlink>
            <w:r w:rsidR="00DE4615">
              <w:rPr>
                <w:rFonts w:cs="Arial"/>
                <w:szCs w:val="22"/>
              </w:rPr>
              <w:t xml:space="preserve"> (the </w:t>
            </w:r>
            <w:r w:rsidR="00113572">
              <w:rPr>
                <w:rFonts w:cs="Arial"/>
                <w:szCs w:val="22"/>
              </w:rPr>
              <w:t>“</w:t>
            </w:r>
            <w:r w:rsidR="00DE4615">
              <w:rPr>
                <w:rFonts w:cs="Arial"/>
                <w:szCs w:val="22"/>
              </w:rPr>
              <w:t>Rules</w:t>
            </w:r>
            <w:r w:rsidR="00113572">
              <w:rPr>
                <w:rFonts w:cs="Arial"/>
                <w:szCs w:val="22"/>
              </w:rPr>
              <w:t>”</w:t>
            </w:r>
            <w:r w:rsidR="00DE4615">
              <w:rPr>
                <w:rFonts w:cs="Arial"/>
                <w:szCs w:val="22"/>
              </w:rPr>
              <w:t>).</w:t>
            </w:r>
            <w:r w:rsidRPr="00E47B30">
              <w:rPr>
                <w:rFonts w:cs="Arial"/>
                <w:szCs w:val="22"/>
              </w:rPr>
              <w:t xml:space="preserve"> </w:t>
            </w:r>
            <w:r w:rsidRPr="00E47B30" w:rsidR="00FC0C00">
              <w:rPr>
                <w:szCs w:val="22"/>
              </w:rPr>
              <w:t xml:space="preserve">The Goodwin alert, </w:t>
            </w:r>
            <w:hyperlink w:history="1" r:id="rId11">
              <w:r w:rsidRPr="00E47B30" w:rsidR="00FC0C00">
                <w:rPr>
                  <w:rStyle w:val="Hyperlink"/>
                  <w:szCs w:val="22"/>
                </w:rPr>
                <w:t>SEC Approves Nasdaq Board Diversity Rules</w:t>
              </w:r>
            </w:hyperlink>
            <w:r w:rsidRPr="00E47B30" w:rsidR="00FC0C00">
              <w:rPr>
                <w:i/>
                <w:szCs w:val="22"/>
              </w:rPr>
              <w:t>,</w:t>
            </w:r>
            <w:r w:rsidRPr="00E47B30" w:rsidR="00FC0C00">
              <w:rPr>
                <w:szCs w:val="22"/>
              </w:rPr>
              <w:t xml:space="preserve"> </w:t>
            </w:r>
            <w:r w:rsidR="00DE4615">
              <w:rPr>
                <w:szCs w:val="22"/>
              </w:rPr>
              <w:t>describes the Nasdaq Rules</w:t>
            </w:r>
            <w:r w:rsidRPr="00E47B30" w:rsidR="00FC0C00">
              <w:rPr>
                <w:szCs w:val="22"/>
              </w:rPr>
              <w:t xml:space="preserve">. </w:t>
            </w:r>
            <w:r w:rsidRPr="00E47B30">
              <w:rPr>
                <w:rFonts w:cs="Arial"/>
                <w:szCs w:val="22"/>
              </w:rPr>
              <w:t xml:space="preserve">The Rules </w:t>
            </w:r>
            <w:r w:rsidR="00FF01DB">
              <w:rPr>
                <w:rFonts w:cs="Arial"/>
                <w:szCs w:val="22"/>
              </w:rPr>
              <w:t>include two requirements.</w:t>
            </w:r>
            <w:r w:rsidR="00774D17">
              <w:rPr>
                <w:rFonts w:cs="Arial"/>
                <w:szCs w:val="22"/>
              </w:rPr>
              <w:t xml:space="preserve"> </w:t>
            </w:r>
            <w:r w:rsidR="00FF01DB">
              <w:rPr>
                <w:rFonts w:cs="Arial"/>
                <w:szCs w:val="22"/>
              </w:rPr>
              <w:t xml:space="preserve">The first requires </w:t>
            </w:r>
            <w:r w:rsidRPr="00E47B30">
              <w:rPr>
                <w:rFonts w:cs="Arial"/>
                <w:szCs w:val="22"/>
              </w:rPr>
              <w:t>Nasdaq-listed companies to have or explain why they do not have at least two diverse directors</w:t>
            </w:r>
            <w:r w:rsidR="00C14CF4">
              <w:rPr>
                <w:rFonts w:cs="Arial"/>
                <w:szCs w:val="22"/>
              </w:rPr>
              <w:t xml:space="preserve">, but </w:t>
            </w:r>
            <w:r w:rsidR="00FF01DB">
              <w:rPr>
                <w:rFonts w:cs="Arial"/>
                <w:szCs w:val="22"/>
              </w:rPr>
              <w:t xml:space="preserve">this </w:t>
            </w:r>
            <w:r w:rsidR="00C14CF4">
              <w:rPr>
                <w:rFonts w:cs="Arial"/>
                <w:szCs w:val="22"/>
              </w:rPr>
              <w:t>requirement does apply until 2023</w:t>
            </w:r>
            <w:r w:rsidRPr="00E47B30">
              <w:rPr>
                <w:rFonts w:cs="Arial"/>
                <w:szCs w:val="22"/>
              </w:rPr>
              <w:t xml:space="preserve">. </w:t>
            </w:r>
            <w:r w:rsidR="00FF01DB">
              <w:rPr>
                <w:rFonts w:cs="Arial"/>
                <w:szCs w:val="22"/>
              </w:rPr>
              <w:t xml:space="preserve">The second requires companies to </w:t>
            </w:r>
            <w:r w:rsidRPr="00E47B30">
              <w:rPr>
                <w:rFonts w:cs="Arial"/>
                <w:szCs w:val="22"/>
              </w:rPr>
              <w:t xml:space="preserve">disclose </w:t>
            </w:r>
            <w:r w:rsidR="00FF01DB">
              <w:rPr>
                <w:rFonts w:cs="Arial"/>
                <w:szCs w:val="22"/>
              </w:rPr>
              <w:t xml:space="preserve">each year </w:t>
            </w:r>
            <w:r w:rsidRPr="00E47B30">
              <w:rPr>
                <w:rFonts w:cs="Arial"/>
                <w:szCs w:val="22"/>
              </w:rPr>
              <w:t xml:space="preserve">statistical information on board diversity using a standardized board diversity matrix. </w:t>
            </w:r>
            <w:r w:rsidRPr="00E47B30" w:rsidR="00B13500">
              <w:rPr>
                <w:rFonts w:cs="Arial"/>
                <w:szCs w:val="22"/>
              </w:rPr>
              <w:t xml:space="preserve">The requirement to disclose board diversity factors using the Nasdaq matrix </w:t>
            </w:r>
            <w:r w:rsidR="00DE4615">
              <w:rPr>
                <w:rFonts w:cs="Arial"/>
                <w:szCs w:val="22"/>
              </w:rPr>
              <w:t>applies to pr</w:t>
            </w:r>
            <w:r w:rsidRPr="00E47B30" w:rsidR="00B13500">
              <w:rPr>
                <w:rFonts w:cs="Arial"/>
                <w:szCs w:val="22"/>
              </w:rPr>
              <w:t xml:space="preserve">oxy statements for annual meetings of calendar year-end companies starting in 2022. </w:t>
            </w:r>
          </w:p>
          <w:p w:rsidRPr="00E47B30" w:rsidR="00FC0C00" w:rsidP="00363DE2" w:rsidRDefault="00FC0C00" w14:paraId="497C8517" w14:textId="08696036">
            <w:pPr>
              <w:spacing w:after="240"/>
              <w:rPr>
                <w:rFonts w:cs="Arial"/>
                <w:szCs w:val="22"/>
              </w:rPr>
            </w:pPr>
            <w:r w:rsidRPr="00E47B30">
              <w:rPr>
                <w:rFonts w:cs="Arial"/>
                <w:szCs w:val="22"/>
              </w:rPr>
              <w:t>Nasdaq-listed companies</w:t>
            </w:r>
            <w:r w:rsidRPr="00E47B30" w:rsidR="00C170D1">
              <w:rPr>
                <w:rFonts w:cs="Arial"/>
                <w:szCs w:val="22"/>
              </w:rPr>
              <w:t xml:space="preserve"> that were listed before August 6, 2021</w:t>
            </w:r>
            <w:r w:rsidRPr="00E47B30">
              <w:rPr>
                <w:rFonts w:cs="Arial"/>
                <w:szCs w:val="22"/>
              </w:rPr>
              <w:t xml:space="preserve"> must initially disclose the Board Diversity Matrix in 2022 by the later of</w:t>
            </w:r>
            <w:r w:rsidR="00081BB3">
              <w:rPr>
                <w:rFonts w:cs="Arial"/>
                <w:szCs w:val="22"/>
              </w:rPr>
              <w:t xml:space="preserve">: </w:t>
            </w:r>
            <w:r w:rsidRPr="00E47B30">
              <w:rPr>
                <w:rFonts w:cs="Arial"/>
                <w:szCs w:val="22"/>
              </w:rPr>
              <w:t>(1) August 8, 2022 or (2) the date the company files its proxy statement or information statement for its annual meeting of shareholders (or, if the company does not file a proxy or information statement, the date it files its Form 10-K or 20-F) during the calendar year of the 2022. For greater clarity, Nasdaq has published the following deadlines:</w:t>
            </w:r>
          </w:p>
          <w:p w:rsidRPr="00E47B30" w:rsidR="00FC0C00" w:rsidP="00264FC4" w:rsidRDefault="00FC0C00" w14:paraId="4D289959" w14:textId="77777777">
            <w:pPr>
              <w:pStyle w:val="ListParagraph"/>
              <w:numPr>
                <w:ilvl w:val="0"/>
                <w:numId w:val="17"/>
              </w:numPr>
            </w:pPr>
            <w:r w:rsidRPr="00E47B30">
              <w:t>if the company files its 2022 proxy statement before August 8, 2022 and does not include the Board Diversity Matrix, the company has until August 8, 2022 to provide the Board Diversity Matrix;</w:t>
            </w:r>
          </w:p>
          <w:p w:rsidRPr="00E47B30" w:rsidR="00FC0C00" w:rsidP="00264FC4" w:rsidRDefault="00FC0C00" w14:paraId="3F12966C" w14:textId="77777777">
            <w:pPr>
              <w:pStyle w:val="ListParagraph"/>
              <w:numPr>
                <w:ilvl w:val="0"/>
                <w:numId w:val="17"/>
              </w:numPr>
            </w:pPr>
            <w:r w:rsidRPr="00E47B30">
              <w:t xml:space="preserve">if the company files its 2022 proxy statement on or after August 8, 2022, it must either include the Board Diversity Matrix in its proxy statement or post the Board Diversity Matrix on its website within one business day of filing its proxy statement; and </w:t>
            </w:r>
          </w:p>
          <w:p w:rsidRPr="00E47B30" w:rsidR="00FC0C00" w:rsidP="00264FC4" w:rsidRDefault="00FC0C00" w14:paraId="5B0A326B" w14:textId="414CEC50">
            <w:pPr>
              <w:pStyle w:val="ListParagraph"/>
              <w:numPr>
                <w:ilvl w:val="0"/>
                <w:numId w:val="17"/>
              </w:numPr>
            </w:pPr>
            <w:r w:rsidRPr="00E47B30">
              <w:t>if the company does not intend to file a proxy statement in 2022, the company has until August 8, 2022 to provide the Board Diversity Matrix on its website.</w:t>
            </w:r>
          </w:p>
          <w:p w:rsidR="00FF01DB" w:rsidP="00363DE2" w:rsidRDefault="00FF01DB" w14:paraId="426B32AE" w14:textId="718E0235">
            <w:pPr>
              <w:spacing w:after="240"/>
              <w:rPr>
                <w:rFonts w:cs="Arial"/>
                <w:szCs w:val="22"/>
              </w:rPr>
            </w:pPr>
            <w:r>
              <w:rPr>
                <w:rFonts w:cs="Arial"/>
                <w:szCs w:val="22"/>
              </w:rPr>
              <w:t>Companies that post the Board Diversity Matrix on their website must submit a notice through the Nasdaq Listing Center.</w:t>
            </w:r>
            <w:r w:rsidR="00774D17">
              <w:rPr>
                <w:rFonts w:cs="Arial"/>
                <w:szCs w:val="22"/>
              </w:rPr>
              <w:t xml:space="preserve"> </w:t>
            </w:r>
            <w:r>
              <w:rPr>
                <w:rFonts w:cs="Arial"/>
                <w:szCs w:val="22"/>
              </w:rPr>
              <w:t>The Board Diversity Matrix must remain accessible on the company</w:t>
            </w:r>
            <w:r w:rsidR="00113572">
              <w:rPr>
                <w:rFonts w:cs="Arial"/>
                <w:szCs w:val="22"/>
              </w:rPr>
              <w:t>’</w:t>
            </w:r>
            <w:r>
              <w:rPr>
                <w:rFonts w:cs="Arial"/>
                <w:szCs w:val="22"/>
              </w:rPr>
              <w:t>s website.</w:t>
            </w:r>
          </w:p>
          <w:p w:rsidRPr="00E47B30" w:rsidR="00C170D1" w:rsidP="00363DE2" w:rsidRDefault="00C170D1" w14:paraId="37F174E5" w14:textId="25841B8C">
            <w:pPr>
              <w:spacing w:after="240"/>
              <w:rPr>
                <w:rFonts w:cs="Arial"/>
                <w:szCs w:val="22"/>
              </w:rPr>
            </w:pPr>
            <w:r w:rsidRPr="00E47B30">
              <w:rPr>
                <w:rFonts w:cs="Arial"/>
                <w:szCs w:val="22"/>
              </w:rPr>
              <w:t>Companies that were listed by Nasdaq on or after August 5, 2021 are not required to disclose their initial matrix until one year from the date of listing.</w:t>
            </w:r>
          </w:p>
          <w:p w:rsidRPr="00E47B30" w:rsidR="00B13500" w:rsidP="00363DE2" w:rsidRDefault="00713E62" w14:paraId="3D4208FF" w14:textId="624CE00C">
            <w:pPr>
              <w:spacing w:after="240"/>
              <w:rPr>
                <w:rFonts w:cs="Arial"/>
                <w:szCs w:val="22"/>
              </w:rPr>
            </w:pPr>
            <w:r w:rsidRPr="00E47B30">
              <w:rPr>
                <w:rFonts w:cs="Arial"/>
                <w:szCs w:val="22"/>
              </w:rPr>
              <w:t>The prescribed Nasdaq matrix disclosure can be found here</w:t>
            </w:r>
            <w:r w:rsidR="00081BB3">
              <w:rPr>
                <w:rFonts w:cs="Arial"/>
                <w:szCs w:val="22"/>
              </w:rPr>
              <w:t xml:space="preserve">:  </w:t>
            </w:r>
            <w:hyperlink w:history="1" r:id="rId12">
              <w:r w:rsidRPr="00E47B30">
                <w:rPr>
                  <w:rStyle w:val="Hyperlink"/>
                  <w:rFonts w:cs="Arial"/>
                  <w:szCs w:val="22"/>
                </w:rPr>
                <w:t>Nasdaq Diversity Matrix</w:t>
              </w:r>
            </w:hyperlink>
          </w:p>
          <w:p w:rsidRPr="00E47B30" w:rsidR="00E71778" w:rsidP="00363DE2" w:rsidRDefault="00713E62" w14:paraId="60D7DCFC" w14:textId="04E7E296">
            <w:pPr>
              <w:spacing w:after="240"/>
              <w:rPr>
                <w:rFonts w:cs="Arial"/>
                <w:szCs w:val="22"/>
              </w:rPr>
            </w:pPr>
            <w:r w:rsidRPr="00E47B30">
              <w:rPr>
                <w:rFonts w:cs="Arial"/>
                <w:szCs w:val="22"/>
              </w:rPr>
              <w:t>Companies that are not currently soliciting self-identification of diversity status from directors and director nominees, which is typically accomplished through D&amp;O questionnaires, will want to consider how they want to solicit this information.</w:t>
            </w:r>
          </w:p>
        </w:tc>
      </w:tr>
      <w:tr w:rsidRPr="00E47B30" w:rsidR="00C8657D" w:rsidTr="00C8657D" w14:paraId="0938016E" w14:textId="77777777">
        <w:trPr>
          <w:cantSplit/>
          <w:jc w:val="center"/>
        </w:trPr>
        <w:tc>
          <w:tcPr>
            <w:tcW w:w="14390" w:type="dxa"/>
            <w:tcBorders>
              <w:bottom w:val="single" w:color="auto" w:sz="4" w:space="0"/>
            </w:tcBorders>
            <w:shd w:val="clear" w:color="auto" w:fill="auto"/>
          </w:tcPr>
          <w:p w:rsidRPr="00A2042A" w:rsidR="00C8657D" w:rsidP="00363DE2" w:rsidRDefault="00C8657D" w14:paraId="0116FF75" w14:textId="77777777">
            <w:pPr>
              <w:pStyle w:val="Heading1"/>
              <w:spacing w:before="0"/>
              <w:jc w:val="left"/>
              <w:rPr>
                <w:szCs w:val="22"/>
                <w:u w:val="none"/>
              </w:rPr>
            </w:pPr>
            <w:r w:rsidRPr="00A2042A">
              <w:rPr>
                <w:szCs w:val="22"/>
                <w:u w:val="none"/>
              </w:rPr>
              <w:lastRenderedPageBreak/>
              <w:t>SEC Staff Guidance on Virtual Annual Meetings</w:t>
            </w:r>
          </w:p>
          <w:p w:rsidRPr="00A2042A" w:rsidR="00C8657D" w:rsidP="00363DE2" w:rsidRDefault="00C8657D" w14:paraId="6A52D324" w14:textId="7E1FF9C0">
            <w:pPr>
              <w:pStyle w:val="BodyText"/>
              <w:rPr>
                <w:iCs/>
                <w:color w:val="000000"/>
                <w:szCs w:val="22"/>
              </w:rPr>
            </w:pPr>
            <w:r w:rsidRPr="00A2042A">
              <w:rPr>
                <w:iCs/>
                <w:color w:val="000000"/>
                <w:szCs w:val="22"/>
              </w:rPr>
              <w:t xml:space="preserve">In January 2022, the staff of the SEC Division of Corporation Finance reaffirmed its </w:t>
            </w:r>
            <w:hyperlink w:history="1" r:id="rId13">
              <w:r w:rsidRPr="00A2042A">
                <w:rPr>
                  <w:rStyle w:val="Hyperlink"/>
                  <w:iCs/>
                  <w:szCs w:val="22"/>
                </w:rPr>
                <w:t>SEC Staff Guidance Concerning Conduct of Virtual Annual Meetings</w:t>
              </w:r>
            </w:hyperlink>
            <w:r w:rsidRPr="00A2042A">
              <w:rPr>
                <w:iCs/>
                <w:color w:val="000000"/>
                <w:szCs w:val="22"/>
              </w:rPr>
              <w:t xml:space="preserve">, which was originally issued on March 13, 2020 and updated on April 7, 2020 and April 9, 2021.  The guidance </w:t>
            </w:r>
            <w:r w:rsidR="00651453">
              <w:rPr>
                <w:iCs/>
                <w:color w:val="000000"/>
                <w:szCs w:val="22"/>
              </w:rPr>
              <w:t>includes</w:t>
            </w:r>
            <w:r w:rsidRPr="00A2042A">
              <w:rPr>
                <w:iCs/>
                <w:color w:val="000000"/>
                <w:szCs w:val="22"/>
              </w:rPr>
              <w:t xml:space="preserve"> the following:</w:t>
            </w:r>
          </w:p>
          <w:p w:rsidRPr="00A2042A" w:rsidR="00C8657D" w:rsidP="00651453" w:rsidRDefault="00C8657D" w14:paraId="34549FB0" w14:textId="57D3C030">
            <w:pPr>
              <w:shd w:val="clear" w:color="auto" w:fill="FFFFFF"/>
              <w:spacing w:after="240"/>
              <w:ind w:left="720"/>
              <w:rPr>
                <w:rFonts w:cs="Arial"/>
                <w:i/>
                <w:iCs/>
                <w:szCs w:val="22"/>
              </w:rPr>
            </w:pPr>
            <w:r w:rsidRPr="00A2042A">
              <w:rPr>
                <w:rFonts w:cs="Arial"/>
                <w:i/>
                <w:iCs/>
                <w:szCs w:val="22"/>
              </w:rPr>
              <w:t>Change of Date, Time or Location of Annual Meeting</w:t>
            </w:r>
          </w:p>
          <w:p w:rsidRPr="00363DE2" w:rsidR="00C8657D" w:rsidP="00651453" w:rsidRDefault="00C8657D" w14:paraId="7B63B395" w14:textId="0B45BB95">
            <w:pPr>
              <w:shd w:val="clear" w:color="auto" w:fill="FFFFFF"/>
              <w:spacing w:after="240"/>
              <w:ind w:left="720"/>
              <w:rPr>
                <w:rFonts w:cs="Arial"/>
                <w:szCs w:val="22"/>
              </w:rPr>
            </w:pPr>
            <w:r w:rsidRPr="00A2042A">
              <w:rPr>
                <w:rFonts w:cs="Arial"/>
                <w:szCs w:val="22"/>
              </w:rPr>
              <w:t>COVID-19 impacts, such as restrictions on travel or gatherings of groups, may result in a company changing the date, time or location of its annual meeting. The guidance describes how the Staff will view the company</w:t>
            </w:r>
            <w:r w:rsidR="00113572">
              <w:rPr>
                <w:rFonts w:cs="Arial"/>
                <w:szCs w:val="22"/>
              </w:rPr>
              <w:t>’</w:t>
            </w:r>
            <w:r w:rsidRPr="00A2042A">
              <w:rPr>
                <w:rFonts w:cs="Arial"/>
                <w:szCs w:val="22"/>
              </w:rPr>
              <w:t>s obligations under federal proxy rules when it makes these changes.</w:t>
            </w:r>
          </w:p>
          <w:p w:rsidRPr="00A2042A" w:rsidR="00C8657D" w:rsidP="00363DE2" w:rsidRDefault="00C8657D" w14:paraId="3ECFDDE2" w14:textId="752B72A7">
            <w:pPr>
              <w:shd w:val="clear" w:color="auto" w:fill="FFFFFF"/>
              <w:spacing w:after="240"/>
              <w:rPr>
                <w:rFonts w:cs="Arial"/>
                <w:szCs w:val="22"/>
              </w:rPr>
            </w:pPr>
            <w:r w:rsidRPr="00A2042A">
              <w:rPr>
                <w:rFonts w:cs="Arial"/>
                <w:b/>
                <w:bCs/>
                <w:szCs w:val="22"/>
              </w:rPr>
              <w:t>Companies That Have Already Filed and Sent Proxy Materials.</w:t>
            </w:r>
            <w:r w:rsidRPr="00A2042A">
              <w:rPr>
                <w:rFonts w:cs="Arial"/>
                <w:b/>
                <w:bCs/>
                <w:i/>
                <w:iCs/>
                <w:szCs w:val="22"/>
              </w:rPr>
              <w:t> </w:t>
            </w:r>
            <w:r w:rsidRPr="00A2042A">
              <w:rPr>
                <w:rFonts w:cs="Arial"/>
                <w:szCs w:val="22"/>
              </w:rPr>
              <w:t>If a company has already filed and sent its definitive proxy materials, the guidance indicates that the Staff will take the position that the company can notify its shareholders and others of a change in the date, time or location of the annual meeting </w:t>
            </w:r>
            <w:r w:rsidRPr="00A2042A">
              <w:rPr>
                <w:rFonts w:cs="Arial"/>
                <w:b/>
                <w:bCs/>
                <w:szCs w:val="22"/>
              </w:rPr>
              <w:t>without mailing additional soliciting materials or amending its previously-filed proxy materials</w:t>
            </w:r>
            <w:r w:rsidRPr="00A2042A">
              <w:rPr>
                <w:rFonts w:cs="Arial"/>
                <w:szCs w:val="22"/>
              </w:rPr>
              <w:t> if the company:</w:t>
            </w:r>
          </w:p>
          <w:p w:rsidRPr="00A2042A" w:rsidR="00C8657D" w:rsidP="00363DE2" w:rsidRDefault="00C8657D" w14:paraId="47800FB4" w14:textId="77777777">
            <w:pPr>
              <w:numPr>
                <w:ilvl w:val="0"/>
                <w:numId w:val="31"/>
              </w:numPr>
              <w:shd w:val="clear" w:color="auto" w:fill="FFFFFF"/>
              <w:spacing w:after="240"/>
              <w:ind w:left="1325"/>
              <w:rPr>
                <w:rFonts w:cs="Arial"/>
                <w:szCs w:val="22"/>
              </w:rPr>
            </w:pPr>
            <w:r w:rsidRPr="00A2042A">
              <w:rPr>
                <w:rFonts w:cs="Arial"/>
                <w:szCs w:val="22"/>
              </w:rPr>
              <w:t>Issues a press release announcing the change;</w:t>
            </w:r>
          </w:p>
          <w:p w:rsidRPr="00A2042A" w:rsidR="00C8657D" w:rsidP="00363DE2" w:rsidRDefault="00C8657D" w14:paraId="16E735C0" w14:textId="0451A300">
            <w:pPr>
              <w:numPr>
                <w:ilvl w:val="0"/>
                <w:numId w:val="31"/>
              </w:numPr>
              <w:shd w:val="clear" w:color="auto" w:fill="FFFFFF"/>
              <w:spacing w:before="100" w:beforeAutospacing="1" w:after="240"/>
              <w:ind w:left="1325"/>
              <w:rPr>
                <w:rFonts w:cs="Arial"/>
                <w:szCs w:val="22"/>
              </w:rPr>
            </w:pPr>
            <w:r w:rsidRPr="00A2042A">
              <w:rPr>
                <w:rFonts w:cs="Arial"/>
                <w:szCs w:val="22"/>
              </w:rPr>
              <w:t>Files the announcement as definitive additional soliciting material on the SEC</w:t>
            </w:r>
            <w:r w:rsidR="00113572">
              <w:rPr>
                <w:rFonts w:cs="Arial"/>
                <w:szCs w:val="22"/>
              </w:rPr>
              <w:t>’</w:t>
            </w:r>
            <w:r w:rsidRPr="00A2042A">
              <w:rPr>
                <w:rFonts w:cs="Arial"/>
                <w:szCs w:val="22"/>
              </w:rPr>
              <w:t>s EDGAR system; and</w:t>
            </w:r>
          </w:p>
          <w:p w:rsidRPr="00A2042A" w:rsidR="00C8657D" w:rsidP="00363DE2" w:rsidRDefault="00C8657D" w14:paraId="4061F670" w14:textId="6CAEB6F7">
            <w:pPr>
              <w:numPr>
                <w:ilvl w:val="0"/>
                <w:numId w:val="31"/>
              </w:numPr>
              <w:shd w:val="clear" w:color="auto" w:fill="FFFFFF"/>
              <w:spacing w:before="100" w:beforeAutospacing="1" w:after="240"/>
              <w:ind w:left="1325"/>
              <w:rPr>
                <w:rFonts w:cs="Arial"/>
                <w:szCs w:val="22"/>
              </w:rPr>
            </w:pPr>
            <w:r w:rsidRPr="00A2042A">
              <w:rPr>
                <w:rFonts w:cs="Arial"/>
                <w:szCs w:val="22"/>
              </w:rPr>
              <w:t xml:space="preserve">Takes </w:t>
            </w:r>
            <w:r w:rsidR="00113572">
              <w:rPr>
                <w:rFonts w:cs="Arial"/>
                <w:szCs w:val="22"/>
              </w:rPr>
              <w:t>“</w:t>
            </w:r>
            <w:r w:rsidRPr="00A2042A">
              <w:rPr>
                <w:rFonts w:cs="Arial"/>
                <w:szCs w:val="22"/>
              </w:rPr>
              <w:t>all reasonable steps necessary to inform</w:t>
            </w:r>
            <w:r w:rsidR="00113572">
              <w:rPr>
                <w:rFonts w:cs="Arial"/>
                <w:szCs w:val="22"/>
              </w:rPr>
              <w:t>”</w:t>
            </w:r>
            <w:r w:rsidRPr="00A2042A">
              <w:rPr>
                <w:rFonts w:cs="Arial"/>
                <w:szCs w:val="22"/>
              </w:rPr>
              <w:t xml:space="preserve"> other intermediaries in the proxy process, such as any proxy service provider, and any other relevant market participant (for example, the relevant national stock exchange) of the change.</w:t>
            </w:r>
          </w:p>
        </w:tc>
      </w:tr>
      <w:tr w:rsidRPr="00E47B30" w:rsidR="00C8657D" w:rsidTr="00C8657D" w14:paraId="66FF60D7" w14:textId="77777777">
        <w:trPr>
          <w:cantSplit/>
          <w:jc w:val="center"/>
        </w:trPr>
        <w:tc>
          <w:tcPr>
            <w:tcW w:w="14390" w:type="dxa"/>
            <w:tcBorders>
              <w:bottom w:val="single" w:color="auto" w:sz="4" w:space="0"/>
            </w:tcBorders>
            <w:shd w:val="clear" w:color="auto" w:fill="auto"/>
          </w:tcPr>
          <w:p w:rsidR="00C8657D" w:rsidP="00363DE2" w:rsidRDefault="00C8657D" w14:paraId="4EBAD9C9" w14:textId="77777777">
            <w:pPr>
              <w:shd w:val="clear" w:color="auto" w:fill="FFFFFF"/>
              <w:spacing w:after="240"/>
              <w:rPr>
                <w:rFonts w:cs="Arial"/>
                <w:szCs w:val="22"/>
              </w:rPr>
            </w:pPr>
            <w:r w:rsidRPr="00E2222F">
              <w:rPr>
                <w:rFonts w:cs="Arial"/>
                <w:b/>
                <w:bCs/>
                <w:szCs w:val="22"/>
              </w:rPr>
              <w:lastRenderedPageBreak/>
              <w:t>Companies That Have Not Yet Filed and Sent Proxy Materials</w:t>
            </w:r>
            <w:r w:rsidRPr="00E2222F">
              <w:rPr>
                <w:rFonts w:cs="Arial"/>
                <w:b/>
                <w:bCs/>
                <w:i/>
                <w:iCs/>
                <w:szCs w:val="22"/>
              </w:rPr>
              <w:t>. </w:t>
            </w:r>
            <w:r w:rsidRPr="00E2222F">
              <w:rPr>
                <w:rFonts w:cs="Arial"/>
                <w:szCs w:val="22"/>
              </w:rPr>
              <w:t xml:space="preserve">If a company </w:t>
            </w:r>
            <w:r>
              <w:rPr>
                <w:rFonts w:cs="Arial"/>
                <w:szCs w:val="22"/>
              </w:rPr>
              <w:t xml:space="preserve">is in the process of preparing its proxy statement and has decided to hold an in-person meeting but wants to preserve its ability to switch to a virtual meeting, it </w:t>
            </w:r>
            <w:r w:rsidRPr="00E2222F">
              <w:rPr>
                <w:rFonts w:cs="Arial"/>
                <w:szCs w:val="22"/>
              </w:rPr>
              <w:t>should includ</w:t>
            </w:r>
            <w:r>
              <w:rPr>
                <w:rFonts w:cs="Arial"/>
                <w:szCs w:val="22"/>
              </w:rPr>
              <w:t>e</w:t>
            </w:r>
            <w:r w:rsidRPr="00E2222F">
              <w:rPr>
                <w:rFonts w:cs="Arial"/>
                <w:szCs w:val="22"/>
              </w:rPr>
              <w:t xml:space="preserve"> disclosure </w:t>
            </w:r>
            <w:r>
              <w:rPr>
                <w:rFonts w:cs="Arial"/>
                <w:szCs w:val="22"/>
              </w:rPr>
              <w:t xml:space="preserve">in its proxy statement </w:t>
            </w:r>
            <w:r w:rsidRPr="00E2222F">
              <w:rPr>
                <w:rFonts w:cs="Arial"/>
                <w:szCs w:val="22"/>
              </w:rPr>
              <w:t>about the possibility that it may need to change the date, time or location of its annual meeting</w:t>
            </w:r>
            <w:r>
              <w:rPr>
                <w:rFonts w:cs="Arial"/>
                <w:szCs w:val="22"/>
              </w:rPr>
              <w:t xml:space="preserve"> </w:t>
            </w:r>
            <w:r w:rsidRPr="00E2222F">
              <w:rPr>
                <w:rFonts w:cs="Arial"/>
                <w:szCs w:val="22"/>
              </w:rPr>
              <w:t xml:space="preserve">due to COVID-19 concerns. </w:t>
            </w:r>
          </w:p>
          <w:p w:rsidRPr="00E2222F" w:rsidR="00C8657D" w:rsidP="00363DE2" w:rsidRDefault="00C8657D" w14:paraId="067D2BD6" w14:textId="1EDA5D17">
            <w:pPr>
              <w:shd w:val="clear" w:color="auto" w:fill="FFFFFF"/>
              <w:spacing w:after="240"/>
              <w:rPr>
                <w:i/>
                <w:szCs w:val="22"/>
              </w:rPr>
            </w:pPr>
            <w:r w:rsidRPr="00E2222F">
              <w:rPr>
                <w:iCs/>
                <w:szCs w:val="22"/>
              </w:rPr>
              <w:t xml:space="preserve"> </w:t>
            </w:r>
            <w:r w:rsidRPr="00E2222F">
              <w:rPr>
                <w:i/>
                <w:szCs w:val="22"/>
              </w:rPr>
              <w:t>Presentation of Shareholder Proposals</w:t>
            </w:r>
          </w:p>
          <w:p w:rsidRPr="00E2222F" w:rsidR="00C8657D" w:rsidP="00363DE2" w:rsidRDefault="00C8657D" w14:paraId="0B076785" w14:textId="2420756A">
            <w:pPr>
              <w:pStyle w:val="BodyText"/>
              <w:rPr>
                <w:iCs/>
                <w:szCs w:val="22"/>
              </w:rPr>
            </w:pPr>
            <w:r w:rsidRPr="00E2222F">
              <w:rPr>
                <w:iCs/>
                <w:szCs w:val="22"/>
              </w:rPr>
              <w:t xml:space="preserve">Rule </w:t>
            </w:r>
            <w:proofErr w:type="spellStart"/>
            <w:r w:rsidRPr="00E2222F">
              <w:rPr>
                <w:iCs/>
                <w:szCs w:val="22"/>
              </w:rPr>
              <w:t>14a</w:t>
            </w:r>
            <w:proofErr w:type="spellEnd"/>
            <w:r w:rsidRPr="00E2222F">
              <w:rPr>
                <w:iCs/>
                <w:szCs w:val="22"/>
              </w:rPr>
              <w:t xml:space="preserve">-8(h) </w:t>
            </w:r>
            <w:r w:rsidR="007F64F0">
              <w:rPr>
                <w:iCs/>
                <w:szCs w:val="22"/>
              </w:rPr>
              <w:t xml:space="preserve">under the Securities Exchange Act of 1934 (Exchange Act) </w:t>
            </w:r>
            <w:r w:rsidRPr="00E2222F">
              <w:rPr>
                <w:iCs/>
                <w:szCs w:val="22"/>
              </w:rPr>
              <w:t>requires shareholder proponents, or their representatives, to appear and present their proposals at the annual meeting. In light of the possible difficulties for shareholder proponents to attend annual meetings in person to present their proposals, the staff encourages issuers, to the extent feasible under state law, to provide shareholder proponents or their representatives with the ability to present their proposals through alternative means, such as by phone.</w:t>
            </w:r>
          </w:p>
          <w:p w:rsidRPr="00E2222F" w:rsidR="00C8657D" w:rsidP="00363DE2" w:rsidRDefault="00C8657D" w14:paraId="361B0454" w14:textId="52B7AACF">
            <w:pPr>
              <w:pStyle w:val="BodyText"/>
              <w:rPr>
                <w:iCs/>
                <w:szCs w:val="22"/>
              </w:rPr>
            </w:pPr>
            <w:r w:rsidRPr="00E2222F">
              <w:rPr>
                <w:iCs/>
                <w:szCs w:val="22"/>
              </w:rPr>
              <w:t xml:space="preserve">Furthermore, to the extent a shareholder proponent or representative is not able to attend the annual meeting and present the proposal due to the inability to travel or other hardships related to COVID-19, the staff would consider this to be </w:t>
            </w:r>
            <w:r w:rsidR="00113572">
              <w:rPr>
                <w:iCs/>
                <w:szCs w:val="22"/>
              </w:rPr>
              <w:t>“</w:t>
            </w:r>
            <w:r w:rsidRPr="00E2222F">
              <w:rPr>
                <w:iCs/>
                <w:szCs w:val="22"/>
              </w:rPr>
              <w:t>good cause</w:t>
            </w:r>
            <w:r w:rsidR="00113572">
              <w:rPr>
                <w:iCs/>
                <w:szCs w:val="22"/>
              </w:rPr>
              <w:t>”</w:t>
            </w:r>
            <w:r w:rsidRPr="00E2222F">
              <w:rPr>
                <w:iCs/>
                <w:szCs w:val="22"/>
              </w:rPr>
              <w:t xml:space="preserve"> under Rule </w:t>
            </w:r>
            <w:proofErr w:type="spellStart"/>
            <w:r w:rsidRPr="00E2222F">
              <w:rPr>
                <w:iCs/>
                <w:szCs w:val="22"/>
              </w:rPr>
              <w:t>14a</w:t>
            </w:r>
            <w:proofErr w:type="spellEnd"/>
            <w:r w:rsidRPr="00E2222F">
              <w:rPr>
                <w:iCs/>
                <w:szCs w:val="22"/>
              </w:rPr>
              <w:t xml:space="preserve">-8(h) should issuers assert Rule </w:t>
            </w:r>
            <w:proofErr w:type="spellStart"/>
            <w:r w:rsidRPr="00E2222F">
              <w:rPr>
                <w:iCs/>
                <w:szCs w:val="22"/>
              </w:rPr>
              <w:t>14a</w:t>
            </w:r>
            <w:proofErr w:type="spellEnd"/>
            <w:r w:rsidRPr="00E2222F">
              <w:rPr>
                <w:iCs/>
                <w:szCs w:val="22"/>
              </w:rPr>
              <w:t>-8(h)(3) as a basis to exclude a proposal submitted by the shareholder proponent for any meetings held in the following two calendar years.</w:t>
            </w:r>
          </w:p>
          <w:p w:rsidRPr="00774D17" w:rsidR="00C8657D" w:rsidP="00363DE2" w:rsidRDefault="00C8657D" w14:paraId="4581C808" w14:textId="77777777">
            <w:pPr>
              <w:pStyle w:val="BodyText"/>
              <w:rPr>
                <w:i/>
                <w:color w:val="000000"/>
                <w:szCs w:val="22"/>
              </w:rPr>
            </w:pPr>
            <w:r w:rsidRPr="00753479">
              <w:rPr>
                <w:i/>
                <w:color w:val="000000"/>
                <w:szCs w:val="22"/>
              </w:rPr>
              <w:t xml:space="preserve">Other </w:t>
            </w:r>
            <w:r w:rsidRPr="00774D17">
              <w:rPr>
                <w:i/>
                <w:color w:val="000000"/>
                <w:szCs w:val="22"/>
              </w:rPr>
              <w:t>Virtual Meeting Reminders</w:t>
            </w:r>
          </w:p>
          <w:p w:rsidRPr="00E47B30" w:rsidR="00C8657D" w:rsidP="00363DE2" w:rsidRDefault="00C8657D" w14:paraId="60097CA3" w14:textId="1EE3B99E">
            <w:pPr>
              <w:pStyle w:val="Heading1"/>
              <w:spacing w:before="0"/>
              <w:jc w:val="left"/>
              <w:rPr>
                <w:szCs w:val="28"/>
                <w:u w:val="none"/>
              </w:rPr>
            </w:pPr>
            <w:r w:rsidRPr="00774D17">
              <w:rPr>
                <w:b w:val="0"/>
                <w:iCs/>
                <w:color w:val="000000"/>
                <w:szCs w:val="22"/>
                <w:u w:val="none"/>
              </w:rPr>
              <w:t xml:space="preserve">The proxy statement should clearly explain how stockholders will be able to access the meeting. Companies should ensure that the virtual meeting service provider has provided and/or reviewed the language, including any hyperlinks, passwords or meeting identification numbers, to ensure all information provided is complete and accurate. It is also worth noting that </w:t>
            </w:r>
            <w:hyperlink w:history="1" r:id="rId14">
              <w:r w:rsidRPr="00774D17">
                <w:rPr>
                  <w:rStyle w:val="Hyperlink"/>
                  <w:b w:val="0"/>
                  <w:iCs/>
                  <w:szCs w:val="22"/>
                  <w:u w:val="none"/>
                </w:rPr>
                <w:t>Glass Lewis</w:t>
              </w:r>
            </w:hyperlink>
            <w:r w:rsidRPr="00774D17">
              <w:rPr>
                <w:b w:val="0"/>
                <w:iCs/>
                <w:color w:val="000000"/>
                <w:szCs w:val="22"/>
                <w:u w:val="none"/>
              </w:rPr>
              <w:t xml:space="preserve">, and to a lesser extent </w:t>
            </w:r>
            <w:hyperlink w:history="1" r:id="rId15">
              <w:r w:rsidRPr="00774D17">
                <w:rPr>
                  <w:rStyle w:val="Hyperlink"/>
                  <w:b w:val="0"/>
                  <w:iCs/>
                  <w:szCs w:val="22"/>
                  <w:u w:val="none"/>
                </w:rPr>
                <w:t>ISS</w:t>
              </w:r>
            </w:hyperlink>
            <w:r w:rsidRPr="00774D17">
              <w:rPr>
                <w:b w:val="0"/>
                <w:iCs/>
                <w:color w:val="000000"/>
                <w:szCs w:val="22"/>
                <w:u w:val="none"/>
              </w:rPr>
              <w:t>, have published expectations about how such meetings should operate to ensure shareholders can meaningfully communicate with management and directors and the disclosure they expect if a company elects to conduct an annual meeting using virtual technology</w:t>
            </w:r>
            <w:r w:rsidRPr="00774D17">
              <w:rPr>
                <w:b w:val="0"/>
                <w:iCs/>
                <w:color w:val="000000"/>
                <w:szCs w:val="22"/>
              </w:rPr>
              <w:t>.</w:t>
            </w:r>
          </w:p>
        </w:tc>
      </w:tr>
      <w:tr w:rsidRPr="00E47B30" w:rsidR="00C8657D" w:rsidTr="00C8657D" w14:paraId="7583EF2E" w14:textId="77777777">
        <w:trPr>
          <w:cantSplit/>
          <w:jc w:val="center"/>
        </w:trPr>
        <w:tc>
          <w:tcPr>
            <w:tcW w:w="14390" w:type="dxa"/>
            <w:tcBorders>
              <w:bottom w:val="single" w:color="auto" w:sz="4" w:space="0"/>
            </w:tcBorders>
            <w:shd w:val="clear" w:color="auto" w:fill="auto"/>
          </w:tcPr>
          <w:p w:rsidRPr="00E47B30" w:rsidR="00C8657D" w:rsidP="00363DE2" w:rsidRDefault="00C8657D" w14:paraId="143AC55E" w14:textId="77777777">
            <w:pPr>
              <w:pStyle w:val="Heading1"/>
              <w:spacing w:before="0"/>
              <w:jc w:val="left"/>
              <w:rPr>
                <w:szCs w:val="28"/>
                <w:u w:val="none"/>
              </w:rPr>
            </w:pPr>
            <w:bookmarkStart w:name="_Toc92793245" w:id="6"/>
            <w:r w:rsidRPr="00E47B30">
              <w:rPr>
                <w:szCs w:val="28"/>
                <w:u w:val="none"/>
              </w:rPr>
              <w:lastRenderedPageBreak/>
              <w:t>ESG Metrics</w:t>
            </w:r>
            <w:bookmarkEnd w:id="6"/>
          </w:p>
          <w:p w:rsidRPr="00E47B30" w:rsidR="00C8657D" w:rsidP="00363DE2" w:rsidRDefault="00C8657D" w14:paraId="2DB26364" w14:textId="6F457AA2">
            <w:pPr>
              <w:pStyle w:val="BodyText"/>
              <w:rPr>
                <w:iCs/>
                <w:color w:val="000000"/>
                <w:szCs w:val="22"/>
              </w:rPr>
            </w:pPr>
            <w:r w:rsidRPr="00E47B30">
              <w:rPr>
                <w:iCs/>
                <w:color w:val="000000"/>
                <w:szCs w:val="22"/>
              </w:rPr>
              <w:t>Companies are increasingly including discussion of their environmental, social and governance (ESG) policies and practices in their proxy statements. These disclosures are often being made due to increased demand from institutional investors and other stakeholders for such disclosures rather than pursuant to SEC disclosure requirements</w:t>
            </w:r>
            <w:r>
              <w:rPr>
                <w:iCs/>
                <w:color w:val="000000"/>
                <w:szCs w:val="22"/>
              </w:rPr>
              <w:t>.</w:t>
            </w:r>
          </w:p>
          <w:p w:rsidRPr="00E47B30" w:rsidR="00C8657D" w:rsidP="00363DE2" w:rsidRDefault="00C8657D" w14:paraId="2F9BCEAB" w14:textId="7E938D12">
            <w:pPr>
              <w:pStyle w:val="BodyText"/>
              <w:rPr>
                <w:iCs/>
                <w:color w:val="000000"/>
                <w:szCs w:val="22"/>
              </w:rPr>
            </w:pPr>
            <w:r w:rsidRPr="00E47B30">
              <w:rPr>
                <w:iCs/>
                <w:color w:val="000000"/>
                <w:szCs w:val="22"/>
              </w:rPr>
              <w:t>The SEC has adopted relatively general disclosure requirements for ESG matters related to human capital, board diversity policies, and environmental regulations, and the staff of the Division of Corporation Finance has provided some guidance on these disclosures, but otherwise ESG disclosures in SEC filings are typically made voluntarily, according to general principles of materiality, or pursuant to existing disclosure requirements that do not directly reference ESG matters.</w:t>
            </w:r>
          </w:p>
          <w:p w:rsidRPr="00E47B30" w:rsidR="00C8657D" w:rsidP="00363DE2" w:rsidRDefault="00C8657D" w14:paraId="075439B6" w14:textId="18D20F94">
            <w:pPr>
              <w:pStyle w:val="BodyText"/>
              <w:rPr>
                <w:iCs/>
                <w:color w:val="000000"/>
                <w:szCs w:val="22"/>
              </w:rPr>
            </w:pPr>
            <w:r w:rsidRPr="00E47B30">
              <w:rPr>
                <w:iCs/>
                <w:color w:val="000000"/>
                <w:szCs w:val="22"/>
              </w:rPr>
              <w:t xml:space="preserve">ESG disclosures, regardless of whether or not they are made in an SEC filing, create potential liability for false and misleading statements under Section 10(b) and Rule </w:t>
            </w:r>
            <w:proofErr w:type="spellStart"/>
            <w:r w:rsidRPr="00E47B30">
              <w:rPr>
                <w:iCs/>
                <w:color w:val="000000"/>
                <w:szCs w:val="22"/>
              </w:rPr>
              <w:t>10b</w:t>
            </w:r>
            <w:proofErr w:type="spellEnd"/>
            <w:r w:rsidRPr="00E47B30">
              <w:rPr>
                <w:iCs/>
                <w:color w:val="000000"/>
                <w:szCs w:val="22"/>
              </w:rPr>
              <w:t>-5 of the Exchange Act. In addition, ESG disclosures in SEC filings that are made or incorporated by reference – for example, from a company</w:t>
            </w:r>
            <w:r w:rsidR="00113572">
              <w:rPr>
                <w:iCs/>
                <w:color w:val="000000"/>
                <w:szCs w:val="22"/>
              </w:rPr>
              <w:t>’</w:t>
            </w:r>
            <w:r w:rsidRPr="00E47B30">
              <w:rPr>
                <w:iCs/>
                <w:color w:val="000000"/>
                <w:szCs w:val="22"/>
              </w:rPr>
              <w:t>s Form 10-K annual report or proxy statement – into an SEC registration statement create potential liability under Section 11</w:t>
            </w:r>
            <w:r>
              <w:rPr>
                <w:iCs/>
                <w:color w:val="000000"/>
                <w:szCs w:val="22"/>
              </w:rPr>
              <w:t xml:space="preserve"> of the Securities Act of 1933</w:t>
            </w:r>
            <w:r w:rsidR="00651453">
              <w:rPr>
                <w:iCs/>
                <w:color w:val="000000"/>
                <w:szCs w:val="22"/>
              </w:rPr>
              <w:t xml:space="preserve"> (Securities Act)</w:t>
            </w:r>
            <w:r w:rsidRPr="00E47B30">
              <w:rPr>
                <w:iCs/>
                <w:color w:val="000000"/>
                <w:szCs w:val="22"/>
              </w:rPr>
              <w:t xml:space="preserve">, which imposes strict liability for false and misleading statements, </w:t>
            </w:r>
            <w:r>
              <w:rPr>
                <w:iCs/>
                <w:color w:val="000000"/>
                <w:szCs w:val="22"/>
              </w:rPr>
              <w:t xml:space="preserve">as well as </w:t>
            </w:r>
            <w:r w:rsidRPr="00E47B30">
              <w:rPr>
                <w:iCs/>
                <w:color w:val="000000"/>
                <w:szCs w:val="22"/>
              </w:rPr>
              <w:t>Section 12 of the Securities Act.</w:t>
            </w:r>
            <w:r>
              <w:rPr>
                <w:iCs/>
                <w:color w:val="000000"/>
                <w:szCs w:val="22"/>
              </w:rPr>
              <w:t xml:space="preserve"> </w:t>
            </w:r>
            <w:r w:rsidRPr="00651453">
              <w:rPr>
                <w:iCs/>
                <w:color w:val="000000"/>
                <w:szCs w:val="22"/>
              </w:rPr>
              <w:t xml:space="preserve">ESG disclosures in proxy statements also create potential liability under Section 14(a) </w:t>
            </w:r>
            <w:r w:rsidRPr="00651453" w:rsidR="007F64F0">
              <w:rPr>
                <w:iCs/>
                <w:color w:val="000000"/>
                <w:szCs w:val="22"/>
              </w:rPr>
              <w:t xml:space="preserve">of the Exchange Act </w:t>
            </w:r>
            <w:r w:rsidRPr="00651453">
              <w:rPr>
                <w:iCs/>
                <w:color w:val="000000"/>
                <w:szCs w:val="22"/>
              </w:rPr>
              <w:t xml:space="preserve">and Rule </w:t>
            </w:r>
            <w:proofErr w:type="spellStart"/>
            <w:r w:rsidRPr="00651453">
              <w:rPr>
                <w:iCs/>
                <w:color w:val="000000"/>
                <w:szCs w:val="22"/>
              </w:rPr>
              <w:t>14a</w:t>
            </w:r>
            <w:proofErr w:type="spellEnd"/>
            <w:r w:rsidRPr="00651453">
              <w:rPr>
                <w:iCs/>
                <w:color w:val="000000"/>
                <w:szCs w:val="22"/>
              </w:rPr>
              <w:t xml:space="preserve">-9 </w:t>
            </w:r>
            <w:r w:rsidRPr="00651453" w:rsidR="007F64F0">
              <w:rPr>
                <w:iCs/>
                <w:color w:val="000000"/>
                <w:szCs w:val="22"/>
              </w:rPr>
              <w:t xml:space="preserve">thereunder, </w:t>
            </w:r>
            <w:r w:rsidRPr="00651453">
              <w:rPr>
                <w:iCs/>
                <w:color w:val="000000"/>
                <w:szCs w:val="22"/>
              </w:rPr>
              <w:t>which requires a showing of negligence for false and misleading statements.</w:t>
            </w:r>
            <w:r>
              <w:rPr>
                <w:iCs/>
                <w:color w:val="000000"/>
                <w:szCs w:val="22"/>
              </w:rPr>
              <w:t xml:space="preserve"> </w:t>
            </w:r>
            <w:r w:rsidR="00651453">
              <w:rPr>
                <w:b/>
                <w:bCs/>
                <w:iCs/>
                <w:color w:val="000000"/>
                <w:szCs w:val="22"/>
              </w:rPr>
              <w:t>The</w:t>
            </w:r>
            <w:r w:rsidRPr="00E47B30">
              <w:rPr>
                <w:b/>
                <w:bCs/>
                <w:iCs/>
                <w:color w:val="000000"/>
                <w:szCs w:val="22"/>
              </w:rPr>
              <w:t xml:space="preserve"> potential for liability </w:t>
            </w:r>
            <w:r w:rsidR="00651453">
              <w:rPr>
                <w:b/>
                <w:bCs/>
                <w:iCs/>
                <w:color w:val="000000"/>
                <w:szCs w:val="22"/>
              </w:rPr>
              <w:t xml:space="preserve">under the Securities Act, the Exchange Act and related SEC rules </w:t>
            </w:r>
            <w:r w:rsidRPr="00E47B30">
              <w:rPr>
                <w:b/>
                <w:bCs/>
                <w:iCs/>
                <w:color w:val="000000"/>
                <w:szCs w:val="22"/>
              </w:rPr>
              <w:t xml:space="preserve">makes it crucial that companies have robust disclosure controls and procedures in place for reviewing ESG disclosures, especially those contained in SEC filings. </w:t>
            </w:r>
          </w:p>
          <w:p w:rsidRPr="00E47B30" w:rsidR="00C8657D" w:rsidP="00363DE2" w:rsidRDefault="00C8657D" w14:paraId="5CE9197E" w14:textId="58E84DDE">
            <w:pPr>
              <w:pStyle w:val="BodyText"/>
              <w:rPr>
                <w:iCs/>
                <w:color w:val="000000"/>
                <w:szCs w:val="22"/>
              </w:rPr>
            </w:pPr>
            <w:r w:rsidRPr="00E47B30">
              <w:rPr>
                <w:iCs/>
                <w:color w:val="000000"/>
                <w:szCs w:val="22"/>
              </w:rPr>
              <w:t>Companies are increasingly including ESG factors in their executive compensation programs to incentivize the achievement of ESG goals and manage ESG risks. In particular, companies are adding ESG metrics, such as those relating to the number of underrepresented employees in management and executive groupings, into their annual incentive plans and to a lesser extent into their long-term incentive plans. Since pay will be tied to these ESG factors, it is essential that standalone ESG metrics used for executive compensation be measurable</w:t>
            </w:r>
            <w:r>
              <w:rPr>
                <w:iCs/>
                <w:color w:val="000000"/>
                <w:szCs w:val="22"/>
              </w:rPr>
              <w:t xml:space="preserve">, </w:t>
            </w:r>
            <w:r w:rsidRPr="00E47B30">
              <w:rPr>
                <w:iCs/>
                <w:color w:val="000000"/>
                <w:szCs w:val="22"/>
              </w:rPr>
              <w:t>controllable</w:t>
            </w:r>
            <w:r>
              <w:rPr>
                <w:iCs/>
                <w:color w:val="000000"/>
                <w:szCs w:val="22"/>
              </w:rPr>
              <w:t>, and disclosable</w:t>
            </w:r>
            <w:r w:rsidRPr="00E47B30">
              <w:rPr>
                <w:iCs/>
                <w:color w:val="000000"/>
                <w:szCs w:val="22"/>
              </w:rPr>
              <w:t xml:space="preserve">. </w:t>
            </w:r>
          </w:p>
        </w:tc>
      </w:tr>
      <w:tr w:rsidRPr="00E47B30" w:rsidR="00C8657D" w:rsidTr="00C8657D" w14:paraId="0FCB0B0E" w14:textId="77777777">
        <w:trPr>
          <w:cantSplit/>
          <w:jc w:val="center"/>
        </w:trPr>
        <w:tc>
          <w:tcPr>
            <w:tcW w:w="14390" w:type="dxa"/>
            <w:tcBorders>
              <w:bottom w:val="single" w:color="auto" w:sz="4" w:space="0"/>
            </w:tcBorders>
            <w:shd w:val="clear" w:color="auto" w:fill="auto"/>
          </w:tcPr>
          <w:p w:rsidRPr="00E47B30" w:rsidR="00C8657D" w:rsidP="00363DE2" w:rsidRDefault="00C8657D" w14:paraId="68A36228" w14:textId="07073AC8">
            <w:pPr>
              <w:pStyle w:val="Heading1"/>
              <w:spacing w:before="0"/>
              <w:jc w:val="left"/>
              <w:rPr>
                <w:szCs w:val="28"/>
                <w:u w:val="none"/>
              </w:rPr>
            </w:pPr>
            <w:bookmarkStart w:name="_Toc92793246" w:id="7"/>
            <w:r w:rsidRPr="00E47B30">
              <w:rPr>
                <w:szCs w:val="28"/>
                <w:u w:val="none"/>
              </w:rPr>
              <w:lastRenderedPageBreak/>
              <w:t>Reminder</w:t>
            </w:r>
            <w:r w:rsidR="00081BB3">
              <w:rPr>
                <w:szCs w:val="28"/>
                <w:u w:val="none"/>
              </w:rPr>
              <w:t xml:space="preserve">:  </w:t>
            </w:r>
            <w:r w:rsidRPr="00E47B30">
              <w:rPr>
                <w:szCs w:val="28"/>
                <w:u w:val="none"/>
              </w:rPr>
              <w:t>Say-on-Pay</w:t>
            </w:r>
            <w:r w:rsidR="007F64F0">
              <w:rPr>
                <w:szCs w:val="28"/>
                <w:u w:val="none"/>
              </w:rPr>
              <w:t>, Say-on-Frequency and Say-on-Golden Parachute Pay</w:t>
            </w:r>
            <w:r w:rsidRPr="00E47B30">
              <w:rPr>
                <w:szCs w:val="28"/>
                <w:u w:val="none"/>
              </w:rPr>
              <w:t xml:space="preserve"> Requirements</w:t>
            </w:r>
            <w:bookmarkEnd w:id="7"/>
            <w:r w:rsidR="00FF01DB">
              <w:rPr>
                <w:szCs w:val="28"/>
                <w:u w:val="none"/>
              </w:rPr>
              <w:t xml:space="preserve"> (</w:t>
            </w:r>
            <w:hyperlink w:history="1" r:id="rId16">
              <w:r w:rsidRPr="00FF01DB" w:rsidR="00FF01DB">
                <w:rPr>
                  <w:rStyle w:val="Hyperlink"/>
                  <w:szCs w:val="28"/>
                </w:rPr>
                <w:t xml:space="preserve">Rule </w:t>
              </w:r>
              <w:proofErr w:type="spellStart"/>
              <w:r w:rsidRPr="00FF01DB" w:rsidR="00FF01DB">
                <w:rPr>
                  <w:rStyle w:val="Hyperlink"/>
                  <w:szCs w:val="28"/>
                </w:rPr>
                <w:t>14a</w:t>
              </w:r>
              <w:proofErr w:type="spellEnd"/>
              <w:r w:rsidRPr="00FF01DB" w:rsidR="00FF01DB">
                <w:rPr>
                  <w:rStyle w:val="Hyperlink"/>
                  <w:szCs w:val="28"/>
                </w:rPr>
                <w:t>-21</w:t>
              </w:r>
            </w:hyperlink>
            <w:r w:rsidR="00FF01DB">
              <w:rPr>
                <w:szCs w:val="28"/>
                <w:u w:val="none"/>
              </w:rPr>
              <w:t>)</w:t>
            </w:r>
          </w:p>
          <w:p w:rsidRPr="00E47B30" w:rsidR="00C8657D" w:rsidP="00363DE2" w:rsidRDefault="00C8657D" w14:paraId="5EF9827A" w14:textId="46DA31A1">
            <w:pPr>
              <w:pStyle w:val="BodyText"/>
            </w:pPr>
            <w:r w:rsidRPr="00E47B30">
              <w:rPr>
                <w:b/>
                <w:u w:val="single"/>
              </w:rPr>
              <w:t>Say-on-Pay</w:t>
            </w:r>
            <w:r w:rsidRPr="00E47B30">
              <w:t xml:space="preserve"> rules require a non-binding </w:t>
            </w:r>
            <w:r>
              <w:t xml:space="preserve">advisory </w:t>
            </w:r>
            <w:r w:rsidRPr="00E47B30">
              <w:t xml:space="preserve">vote on executive compensation at least once every third year. </w:t>
            </w:r>
            <w:r w:rsidR="00363DE2">
              <w:t>Say-on-pay</w:t>
            </w:r>
            <w:r w:rsidRPr="00E47B30">
              <w:t xml:space="preserve"> votes must be held at least every three years</w:t>
            </w:r>
            <w:r>
              <w:t>, but most companies hold a say-on-pay vote every year</w:t>
            </w:r>
            <w:r w:rsidRPr="00E47B30">
              <w:t xml:space="preserve">. The SEC release adopting the final rules is available </w:t>
            </w:r>
            <w:r w:rsidR="00363DE2">
              <w:t>on the</w:t>
            </w:r>
            <w:r w:rsidRPr="00E47B30">
              <w:t xml:space="preserve"> </w:t>
            </w:r>
            <w:hyperlink w:history="1" r:id="rId17">
              <w:r w:rsidR="00363DE2">
                <w:rPr>
                  <w:rStyle w:val="Hyperlink"/>
                </w:rPr>
                <w:t>SEC website</w:t>
              </w:r>
            </w:hyperlink>
            <w:r w:rsidRPr="00E47B30">
              <w:t>.</w:t>
            </w:r>
          </w:p>
          <w:p w:rsidR="00C8657D" w:rsidP="00363DE2" w:rsidRDefault="00C8657D" w14:paraId="250F7C61" w14:textId="0E637FA8">
            <w:pPr>
              <w:spacing w:after="240"/>
              <w:rPr>
                <w:rFonts w:cs="Arial"/>
                <w:szCs w:val="22"/>
              </w:rPr>
            </w:pPr>
            <w:r w:rsidRPr="00E47B30">
              <w:rPr>
                <w:rFonts w:cs="Arial"/>
                <w:szCs w:val="22"/>
              </w:rPr>
              <w:t xml:space="preserve">The Jumpstart Our Business Startups Act (JOBS Act) designated certain companies as </w:t>
            </w:r>
            <w:r w:rsidR="00113572">
              <w:rPr>
                <w:rFonts w:cs="Arial"/>
                <w:szCs w:val="22"/>
              </w:rPr>
              <w:t>“</w:t>
            </w:r>
            <w:r w:rsidRPr="00E47B30">
              <w:rPr>
                <w:rFonts w:cs="Arial"/>
                <w:szCs w:val="22"/>
              </w:rPr>
              <w:t>emerging growth companies</w:t>
            </w:r>
            <w:r w:rsidR="00113572">
              <w:rPr>
                <w:rFonts w:cs="Arial"/>
                <w:szCs w:val="22"/>
              </w:rPr>
              <w:t>”</w:t>
            </w:r>
            <w:r w:rsidRPr="00E47B30">
              <w:rPr>
                <w:rFonts w:cs="Arial"/>
                <w:szCs w:val="22"/>
              </w:rPr>
              <w:t xml:space="preserve"> (EGCs), and exempted EGCs from the Dodd–Frank Wall Street Reform and Consumer Protection Act (Dodd Frank Act) say-on-pay, say-on-pay frequency, and say-on-golden-parachute vote requirements while these companies remain EGCs. Companies that lose their qualification as an EGC should be aware that a say-on-pay frequency vote may be required as early as the first annual meeting that takes place after the company ceases to be an EGC.</w:t>
            </w:r>
          </w:p>
          <w:p w:rsidRPr="007F64F0" w:rsidR="007F64F0" w:rsidP="007F64F0" w:rsidRDefault="007F64F0" w14:paraId="74BFCFBE" w14:textId="25675B85">
            <w:pPr>
              <w:pStyle w:val="Heading1"/>
              <w:spacing w:before="0"/>
              <w:jc w:val="left"/>
              <w:rPr>
                <w:rFonts w:cs="Arial"/>
                <w:b w:val="0"/>
                <w:bCs/>
                <w:szCs w:val="22"/>
                <w:u w:val="none"/>
              </w:rPr>
            </w:pPr>
            <w:r w:rsidRPr="00FF01DB">
              <w:rPr>
                <w:szCs w:val="28"/>
              </w:rPr>
              <w:t>Say-on-Frequency</w:t>
            </w:r>
            <w:r>
              <w:rPr>
                <w:b w:val="0"/>
                <w:bCs/>
                <w:szCs w:val="28"/>
                <w:u w:val="none"/>
              </w:rPr>
              <w:t xml:space="preserve"> rules </w:t>
            </w:r>
            <w:r w:rsidRPr="007F64F0">
              <w:rPr>
                <w:b w:val="0"/>
                <w:bCs/>
                <w:szCs w:val="28"/>
                <w:u w:val="none"/>
              </w:rPr>
              <w:t>generally</w:t>
            </w:r>
            <w:r w:rsidRPr="007F64F0">
              <w:rPr>
                <w:szCs w:val="22"/>
                <w:u w:val="none"/>
              </w:rPr>
              <w:t xml:space="preserve"> </w:t>
            </w:r>
            <w:r w:rsidRPr="007F64F0">
              <w:rPr>
                <w:rFonts w:cs="Arial"/>
                <w:b w:val="0"/>
                <w:bCs/>
                <w:szCs w:val="22"/>
                <w:u w:val="none"/>
              </w:rPr>
              <w:t>require companies to submit to security holders at least every six calendar years a non</w:t>
            </w:r>
            <w:r w:rsidRPr="007F64F0">
              <w:rPr>
                <w:rFonts w:cs="Arial"/>
                <w:b w:val="0"/>
                <w:bCs/>
                <w:szCs w:val="22"/>
                <w:u w:val="none"/>
              </w:rPr>
              <w:noBreakHyphen/>
              <w:t xml:space="preserve">binding vote on how frequently the company will submit a </w:t>
            </w:r>
            <w:r w:rsidR="00113572">
              <w:rPr>
                <w:rFonts w:cs="Arial"/>
                <w:b w:val="0"/>
                <w:bCs/>
                <w:szCs w:val="22"/>
                <w:u w:val="none"/>
              </w:rPr>
              <w:t>“</w:t>
            </w:r>
            <w:r w:rsidRPr="007F64F0">
              <w:rPr>
                <w:rFonts w:cs="Arial"/>
                <w:b w:val="0"/>
                <w:bCs/>
                <w:szCs w:val="22"/>
                <w:u w:val="none"/>
              </w:rPr>
              <w:t>say-on-pay</w:t>
            </w:r>
            <w:r w:rsidR="00113572">
              <w:rPr>
                <w:rFonts w:cs="Arial"/>
                <w:b w:val="0"/>
                <w:bCs/>
                <w:szCs w:val="22"/>
                <w:u w:val="none"/>
              </w:rPr>
              <w:t>”</w:t>
            </w:r>
            <w:r w:rsidRPr="007F64F0">
              <w:rPr>
                <w:rFonts w:cs="Arial"/>
                <w:b w:val="0"/>
                <w:bCs/>
                <w:szCs w:val="22"/>
                <w:u w:val="none"/>
              </w:rPr>
              <w:t xml:space="preserve"> vote to its security holders. </w:t>
            </w:r>
            <w:hyperlink w:history="1" w:anchor="p-240.14a-21(b)" r:id="rId18">
              <w:r w:rsidRPr="007F64F0">
                <w:rPr>
                  <w:rStyle w:val="Hyperlink"/>
                  <w:rFonts w:cs="Arial"/>
                  <w:b w:val="0"/>
                  <w:bCs/>
                  <w:szCs w:val="22"/>
                </w:rPr>
                <w:t xml:space="preserve">Rule </w:t>
              </w:r>
              <w:proofErr w:type="spellStart"/>
              <w:r w:rsidRPr="007F64F0">
                <w:rPr>
                  <w:rStyle w:val="Hyperlink"/>
                  <w:rFonts w:cs="Arial"/>
                  <w:b w:val="0"/>
                  <w:bCs/>
                  <w:szCs w:val="22"/>
                </w:rPr>
                <w:t>14a</w:t>
              </w:r>
              <w:proofErr w:type="spellEnd"/>
              <w:r w:rsidRPr="007F64F0">
                <w:rPr>
                  <w:rStyle w:val="Hyperlink"/>
                  <w:rFonts w:cs="Arial"/>
                  <w:b w:val="0"/>
                  <w:bCs/>
                  <w:szCs w:val="22"/>
                </w:rPr>
                <w:t>-21(b)</w:t>
              </w:r>
            </w:hyperlink>
            <w:r w:rsidRPr="007F64F0">
              <w:rPr>
                <w:rFonts w:cs="Arial"/>
                <w:b w:val="0"/>
                <w:bCs/>
                <w:szCs w:val="22"/>
                <w:u w:val="none"/>
              </w:rPr>
              <w:t xml:space="preserve"> became effective for annual or other meetings of security holders at which directors are elected and for which the SEC rules require executive compensation disclosures in accordance with Item 402 of Regulation S-K occurring on or after January 21, 2011. Therefore, most U.S. public companies need to include a vote on the frequency of their say-on-pay votes in their proxy statements for their annual meetings six years after their initial or most recent say-on-pay frequency vote. Newly-public companies that aren</w:t>
            </w:r>
            <w:r w:rsidR="00113572">
              <w:rPr>
                <w:rFonts w:cs="Arial"/>
                <w:b w:val="0"/>
                <w:bCs/>
                <w:szCs w:val="22"/>
                <w:u w:val="none"/>
              </w:rPr>
              <w:t>’</w:t>
            </w:r>
            <w:r w:rsidRPr="007F64F0">
              <w:rPr>
                <w:rFonts w:cs="Arial"/>
                <w:b w:val="0"/>
                <w:bCs/>
                <w:szCs w:val="22"/>
                <w:u w:val="none"/>
              </w:rPr>
              <w:t>t EGCs are required to solicit a say-on-pay frequency vote, as well as a say-on-pay vote, at the first annual meeting after their IPO.</w:t>
            </w:r>
          </w:p>
          <w:p w:rsidRPr="00C25DFC" w:rsidR="007F64F0" w:rsidP="007F64F0" w:rsidRDefault="007F64F0" w14:paraId="7D91979E" w14:textId="77777777">
            <w:pPr>
              <w:spacing w:after="240"/>
              <w:rPr>
                <w:rFonts w:cs="Arial"/>
                <w:szCs w:val="22"/>
              </w:rPr>
            </w:pPr>
            <w:r w:rsidRPr="00C25DFC">
              <w:rPr>
                <w:rFonts w:cs="Arial"/>
                <w:szCs w:val="22"/>
              </w:rPr>
              <w:t>Companies that submit a say-on-pay frequency vote to security holders should review the disclosure requirements of Item 24 of Schedule 14A, which applies to the say-on-pay frequency vote as well as the say-on-pay vote. Among other things, Item 24 requires companies to explain briefly the general effect of each vote, including whether the vote is non</w:t>
            </w:r>
            <w:r w:rsidRPr="00C25DFC">
              <w:rPr>
                <w:rFonts w:cs="Arial"/>
                <w:szCs w:val="22"/>
              </w:rPr>
              <w:noBreakHyphen/>
              <w:t xml:space="preserve">binding, the current frequency of the say-on-pay votes, and when the next say-on-pay vote will occur. Rule </w:t>
            </w:r>
            <w:proofErr w:type="spellStart"/>
            <w:r w:rsidRPr="00C25DFC">
              <w:rPr>
                <w:rFonts w:cs="Arial"/>
                <w:szCs w:val="22"/>
              </w:rPr>
              <w:t>14a</w:t>
            </w:r>
            <w:proofErr w:type="spellEnd"/>
            <w:r w:rsidRPr="00C25DFC">
              <w:rPr>
                <w:rFonts w:cs="Arial"/>
                <w:szCs w:val="22"/>
              </w:rPr>
              <w:t>-4(b)(3) provides that companies should offer security holders four voting alternatives</w:t>
            </w:r>
            <w:r>
              <w:rPr>
                <w:rFonts w:cs="Arial"/>
                <w:szCs w:val="22"/>
              </w:rPr>
              <w:t xml:space="preserve">:  </w:t>
            </w:r>
            <w:r w:rsidRPr="00C25DFC">
              <w:rPr>
                <w:rFonts w:cs="Arial"/>
                <w:szCs w:val="22"/>
              </w:rPr>
              <w:t xml:space="preserve">whether the vote on executive compensation should occur every one, two or three years, and abstain. </w:t>
            </w:r>
          </w:p>
          <w:p w:rsidRPr="00E47B30" w:rsidR="007F64F0" w:rsidP="007F64F0" w:rsidRDefault="007F64F0" w14:paraId="5015C2C5" w14:textId="5572824E">
            <w:pPr>
              <w:spacing w:after="240"/>
              <w:rPr>
                <w:rFonts w:cs="Arial"/>
                <w:szCs w:val="22"/>
              </w:rPr>
            </w:pPr>
            <w:r w:rsidRPr="00C25DFC">
              <w:rPr>
                <w:rFonts w:cs="Arial"/>
                <w:szCs w:val="22"/>
              </w:rPr>
              <w:t>Companies should also be aware of related Form 8</w:t>
            </w:r>
            <w:r w:rsidRPr="00C25DFC">
              <w:rPr>
                <w:rFonts w:cs="Arial"/>
                <w:szCs w:val="22"/>
              </w:rPr>
              <w:noBreakHyphen/>
              <w:t>K disclosure requirements concerning the say-on-pay frequency vote. This reporting requirement is separate from the Form 8-K reporting requirement for the results of elections and shareholder votes at an annual meeting. The Form 8-K report on approval of a say-on-pay frequency report is due no later than 150 calendar days after the end of the shareholder meeting at which the vote was taken (as a practical matter, this should, however, be included in the annual meeting votes 8-K).</w:t>
            </w:r>
          </w:p>
          <w:p w:rsidRPr="00E47B30" w:rsidR="00C8657D" w:rsidP="00363DE2" w:rsidRDefault="00C8657D" w14:paraId="5E236AF4" w14:textId="7C25DEB4">
            <w:pPr>
              <w:pStyle w:val="BodyText"/>
              <w:rPr>
                <w:b/>
                <w:bCs/>
                <w:iCs/>
                <w:color w:val="FF0000"/>
                <w:szCs w:val="28"/>
              </w:rPr>
            </w:pPr>
            <w:r w:rsidRPr="00E47B30">
              <w:rPr>
                <w:b/>
                <w:u w:val="single"/>
              </w:rPr>
              <w:t>Say-on-Golden Parachute Pay</w:t>
            </w:r>
            <w:r w:rsidRPr="00E47B30">
              <w:t xml:space="preserve"> rules, not summarized in this document, apply to certain transactional filings in connection with stockholder votes relating to an acquisition, merger, consolidation or proposed sale or disposition of all or substantially all </w:t>
            </w:r>
            <w:r>
              <w:t xml:space="preserve">of the </w:t>
            </w:r>
            <w:r w:rsidRPr="00E47B30">
              <w:t>assets of a company</w:t>
            </w:r>
            <w:r>
              <w:t>,</w:t>
            </w:r>
            <w:r w:rsidRPr="00E47B30">
              <w:t xml:space="preserve"> but do not apply to routine annual meetings of stockholders.</w:t>
            </w:r>
          </w:p>
        </w:tc>
      </w:tr>
      <w:tr w:rsidRPr="00E47B30" w:rsidR="00C8657D" w:rsidTr="00C8657D" w14:paraId="2804611A" w14:textId="77777777">
        <w:trPr>
          <w:cantSplit/>
          <w:jc w:val="center"/>
        </w:trPr>
        <w:tc>
          <w:tcPr>
            <w:tcW w:w="14390" w:type="dxa"/>
            <w:shd w:val="clear" w:color="auto" w:fill="auto"/>
          </w:tcPr>
          <w:p w:rsidRPr="00E47B30" w:rsidR="00C8657D" w:rsidP="00363DE2" w:rsidRDefault="00C8657D" w14:paraId="5CABF87D" w14:textId="74DC45B6">
            <w:pPr>
              <w:pStyle w:val="Heading1"/>
              <w:spacing w:before="0"/>
              <w:jc w:val="left"/>
              <w:rPr>
                <w:szCs w:val="28"/>
                <w:u w:val="none"/>
              </w:rPr>
            </w:pPr>
            <w:bookmarkStart w:name="_Toc92793248" w:id="8"/>
            <w:r w:rsidRPr="00E47B30">
              <w:rPr>
                <w:szCs w:val="28"/>
                <w:u w:val="none"/>
              </w:rPr>
              <w:lastRenderedPageBreak/>
              <w:t>Reminder</w:t>
            </w:r>
            <w:r w:rsidR="00081BB3">
              <w:rPr>
                <w:szCs w:val="28"/>
                <w:u w:val="none"/>
              </w:rPr>
              <w:t xml:space="preserve">:  </w:t>
            </w:r>
            <w:r w:rsidRPr="00E47B30">
              <w:rPr>
                <w:szCs w:val="28"/>
                <w:u w:val="none"/>
              </w:rPr>
              <w:t>Hedging Policy Disclosure</w:t>
            </w:r>
            <w:bookmarkEnd w:id="8"/>
          </w:p>
          <w:p w:rsidRPr="00E47B30" w:rsidR="00C8657D" w:rsidP="00363DE2" w:rsidRDefault="00C8657D" w14:paraId="6A8876DB" w14:textId="4899B70B">
            <w:pPr>
              <w:pStyle w:val="BodyText"/>
              <w:rPr>
                <w:b/>
                <w:bCs/>
                <w:iCs/>
                <w:color w:val="000000"/>
                <w:szCs w:val="22"/>
              </w:rPr>
            </w:pPr>
            <w:r w:rsidRPr="00E47B30">
              <w:rPr>
                <w:iCs/>
                <w:color w:val="000000"/>
                <w:szCs w:val="22"/>
              </w:rPr>
              <w:t>The SEC adopted rules in December 2018 that require hedging disclosure in proxy and consent solicitation materials with respect to the election of directors, without regard to whether the materials relate to an annual or special meeting of shareholders or action to be taken by written consent, during fiscal years that begin on or after July 1, 2019 (July 1, 2020 for EGCs and SRCs). All companies, including SRCs and EGCs, should have had this in last year</w:t>
            </w:r>
            <w:r w:rsidR="00113572">
              <w:rPr>
                <w:iCs/>
                <w:color w:val="000000"/>
                <w:szCs w:val="22"/>
              </w:rPr>
              <w:t>’</w:t>
            </w:r>
            <w:r w:rsidRPr="00E47B30">
              <w:rPr>
                <w:iCs/>
                <w:color w:val="000000"/>
                <w:szCs w:val="22"/>
              </w:rPr>
              <w:t>s proxy statements.</w:t>
            </w:r>
          </w:p>
          <w:p w:rsidRPr="00E47B30" w:rsidR="00C8657D" w:rsidP="00363DE2" w:rsidRDefault="00C8657D" w14:paraId="104491B8" w14:textId="6DE2C741">
            <w:pPr>
              <w:pStyle w:val="BodyText"/>
              <w:rPr>
                <w:iCs/>
                <w:color w:val="000000"/>
                <w:szCs w:val="22"/>
              </w:rPr>
            </w:pPr>
            <w:r w:rsidRPr="00E47B30">
              <w:rPr>
                <w:iCs/>
                <w:color w:val="000000"/>
                <w:szCs w:val="22"/>
              </w:rPr>
              <w:t>The rules require a company to describe any practices or policies that the company has adopted regarding the ability of the company</w:t>
            </w:r>
            <w:r w:rsidR="00113572">
              <w:rPr>
                <w:iCs/>
                <w:color w:val="000000"/>
                <w:szCs w:val="22"/>
              </w:rPr>
              <w:t>’</w:t>
            </w:r>
            <w:r w:rsidRPr="00E47B30">
              <w:rPr>
                <w:iCs/>
                <w:color w:val="000000"/>
                <w:szCs w:val="22"/>
              </w:rPr>
              <w:t xml:space="preserve">s employees (including officers) or directors, or any of their designees, to purchase financial instruments (including prepaid variable forward contracts, equity swaps, collars, and exchange funds), or otherwise engage in transactions, that hedge or offset, or are designed to hedge or offset, any decrease in the market value of </w:t>
            </w:r>
            <w:r>
              <w:rPr>
                <w:iCs/>
                <w:color w:val="000000"/>
                <w:szCs w:val="22"/>
              </w:rPr>
              <w:t>the company</w:t>
            </w:r>
            <w:r w:rsidR="00113572">
              <w:rPr>
                <w:iCs/>
                <w:color w:val="000000"/>
                <w:szCs w:val="22"/>
              </w:rPr>
              <w:t>’</w:t>
            </w:r>
            <w:r>
              <w:rPr>
                <w:iCs/>
                <w:color w:val="000000"/>
                <w:szCs w:val="22"/>
              </w:rPr>
              <w:t>s</w:t>
            </w:r>
            <w:r w:rsidRPr="00E47B30">
              <w:rPr>
                <w:iCs/>
                <w:color w:val="000000"/>
                <w:szCs w:val="22"/>
              </w:rPr>
              <w:t xml:space="preserve"> equity securities (a) granted to the employee or director by the company as part of the compensation of the employee or director; or (b) held, directly or indirectly, by the employee or director. If the company does not have any practices or policies regarding hedging, the company must disclose that fact or state that the transactions described above are generally permitted.</w:t>
            </w:r>
          </w:p>
          <w:p w:rsidRPr="00E47B30" w:rsidR="00C8657D" w:rsidP="00363DE2" w:rsidRDefault="00C8657D" w14:paraId="06B6A5D4" w14:textId="0316294E">
            <w:pPr>
              <w:pStyle w:val="BodyText"/>
              <w:rPr>
                <w:b/>
                <w:bCs/>
                <w:szCs w:val="28"/>
              </w:rPr>
            </w:pPr>
            <w:r w:rsidRPr="00E47B30">
              <w:rPr>
                <w:iCs/>
                <w:color w:val="000000"/>
              </w:rPr>
              <w:t>The adopting release clarifies that the final rules apply to all company policies and practices, without regard to whether they are in written form or not. A company can satisfy the disclosure requirement by either providing a fair and accurate summary of the applicable practices or policies, including the categories of persons they cover and any categories of transactions that are specifically permitted and/or specifically disallowed. Alternatively, companies can satisfy this requirement by disclosing their practices or policies in full.</w:t>
            </w:r>
            <w:r w:rsidR="00CF3580">
              <w:rPr>
                <w:iCs/>
                <w:color w:val="000000"/>
              </w:rPr>
              <w:t xml:space="preserve"> </w:t>
            </w:r>
            <w:r w:rsidRPr="00B640B0">
              <w:rPr>
                <w:iCs/>
                <w:color w:val="000000"/>
              </w:rPr>
              <w:t xml:space="preserve">The final rules do not require any specific location </w:t>
            </w:r>
            <w:r>
              <w:rPr>
                <w:iCs/>
                <w:color w:val="000000"/>
              </w:rPr>
              <w:t xml:space="preserve">in the proxy statement </w:t>
            </w:r>
            <w:r w:rsidRPr="00B640B0">
              <w:rPr>
                <w:iCs/>
                <w:color w:val="000000"/>
              </w:rPr>
              <w:t>for the disclosure.</w:t>
            </w:r>
            <w:r w:rsidRPr="00E47B30">
              <w:rPr>
                <w:b/>
                <w:bCs/>
                <w:iCs/>
                <w:color w:val="000000"/>
              </w:rPr>
              <w:t xml:space="preserve"> </w:t>
            </w:r>
          </w:p>
        </w:tc>
      </w:tr>
      <w:tr w:rsidRPr="00E47B30" w:rsidR="00C8657D" w:rsidTr="00C8657D" w14:paraId="458DD82E" w14:textId="77777777">
        <w:trPr>
          <w:cantSplit/>
          <w:jc w:val="center"/>
        </w:trPr>
        <w:tc>
          <w:tcPr>
            <w:tcW w:w="14390" w:type="dxa"/>
            <w:tcBorders>
              <w:bottom w:val="single" w:color="auto" w:sz="4" w:space="0"/>
            </w:tcBorders>
            <w:shd w:val="clear" w:color="auto" w:fill="auto"/>
          </w:tcPr>
          <w:p w:rsidR="00C8657D" w:rsidP="00C8657D" w:rsidRDefault="00C8657D" w14:paraId="75D99850" w14:textId="025AD5A8">
            <w:pPr>
              <w:pStyle w:val="Heading1"/>
              <w:spacing w:before="0" w:after="120"/>
              <w:jc w:val="left"/>
              <w:rPr>
                <w:b w:val="0"/>
                <w:bCs/>
                <w:szCs w:val="28"/>
                <w:u w:val="none"/>
              </w:rPr>
            </w:pPr>
            <w:r>
              <w:rPr>
                <w:szCs w:val="28"/>
                <w:u w:val="none"/>
              </w:rPr>
              <w:lastRenderedPageBreak/>
              <w:t>Key Dates for 2022 Proxy Solicitations</w:t>
            </w:r>
          </w:p>
          <w:tbl>
            <w:tblPr>
              <w:tblStyle w:val="TableGrid"/>
              <w:tblW w:w="5000" w:type="pct"/>
              <w:jc w:val="center"/>
              <w:tblLayout w:type="fixed"/>
              <w:tblCellMar>
                <w:top w:w="29" w:type="dxa"/>
                <w:left w:w="43" w:type="dxa"/>
                <w:bottom w:w="29" w:type="dxa"/>
                <w:right w:w="43" w:type="dxa"/>
              </w:tblCellMar>
              <w:tblLook w:val="04A0" w:firstRow="1" w:lastRow="0" w:firstColumn="1" w:lastColumn="0" w:noHBand="0" w:noVBand="1"/>
            </w:tblPr>
            <w:tblGrid>
              <w:gridCol w:w="4380"/>
              <w:gridCol w:w="2790"/>
              <w:gridCol w:w="6990"/>
            </w:tblGrid>
            <w:tr w:rsidR="00C8657D" w:rsidTr="00363DE2" w14:paraId="79C91B38" w14:textId="77777777">
              <w:trPr>
                <w:trHeight w:val="272"/>
                <w:jc w:val="center"/>
              </w:trPr>
              <w:tc>
                <w:tcPr>
                  <w:tcW w:w="4380" w:type="dxa"/>
                  <w:vMerge w:val="restart"/>
                  <w:tcBorders>
                    <w:top w:val="nil"/>
                    <w:left w:val="nil"/>
                    <w:bottom w:val="nil"/>
                    <w:right w:val="nil"/>
                  </w:tcBorders>
                  <w:vAlign w:val="center"/>
                </w:tcPr>
                <w:p w:rsidRPr="0056218F" w:rsidR="00C8657D" w:rsidP="00C8657D" w:rsidRDefault="00C8657D" w14:paraId="6DCD6155" w14:textId="58D1B18A">
                  <w:pPr>
                    <w:pStyle w:val="BodyText"/>
                    <w:rPr>
                      <w:sz w:val="20"/>
                    </w:rPr>
                  </w:pPr>
                  <w:r w:rsidRPr="0056218F">
                    <w:rPr>
                      <w:sz w:val="20"/>
                    </w:rPr>
                    <w:t xml:space="preserve">Determine dates </w:t>
                  </w:r>
                  <w:r>
                    <w:rPr>
                      <w:sz w:val="20"/>
                    </w:rPr>
                    <w:t>related to</w:t>
                  </w:r>
                  <w:r w:rsidRPr="0056218F">
                    <w:rPr>
                      <w:sz w:val="20"/>
                    </w:rPr>
                    <w:t xml:space="preserve"> 2023 proxy solicitation:</w:t>
                  </w:r>
                </w:p>
              </w:tc>
              <w:tc>
                <w:tcPr>
                  <w:tcW w:w="2790" w:type="dxa"/>
                  <w:tcBorders>
                    <w:top w:val="nil"/>
                    <w:left w:val="nil"/>
                    <w:bottom w:val="nil"/>
                    <w:right w:val="nil"/>
                  </w:tcBorders>
                  <w:vAlign w:val="center"/>
                </w:tcPr>
                <w:p w:rsidRPr="0056218F" w:rsidR="00C8657D" w:rsidP="00C8657D" w:rsidRDefault="00C8657D" w14:paraId="6D61FB09" w14:textId="007918BF">
                  <w:pPr>
                    <w:pStyle w:val="BodyText"/>
                    <w:rPr>
                      <w:i/>
                      <w:iCs/>
                      <w:sz w:val="20"/>
                    </w:rPr>
                  </w:pPr>
                  <w:r w:rsidRPr="0056218F">
                    <w:rPr>
                      <w:i/>
                      <w:iCs/>
                      <w:sz w:val="20"/>
                    </w:rPr>
                    <w:t xml:space="preserve">Rule </w:t>
                  </w:r>
                  <w:proofErr w:type="spellStart"/>
                  <w:r w:rsidRPr="0056218F">
                    <w:rPr>
                      <w:i/>
                      <w:iCs/>
                      <w:sz w:val="20"/>
                    </w:rPr>
                    <w:t>14a</w:t>
                  </w:r>
                  <w:proofErr w:type="spellEnd"/>
                  <w:r w:rsidRPr="0056218F">
                    <w:rPr>
                      <w:i/>
                      <w:iCs/>
                      <w:sz w:val="20"/>
                    </w:rPr>
                    <w:t>-8 deadline for receipt of shareholder proposals</w:t>
                  </w:r>
                </w:p>
              </w:tc>
              <w:tc>
                <w:tcPr>
                  <w:tcW w:w="6990" w:type="dxa"/>
                  <w:tcBorders>
                    <w:top w:val="nil"/>
                    <w:left w:val="nil"/>
                    <w:bottom w:val="nil"/>
                    <w:right w:val="nil"/>
                  </w:tcBorders>
                  <w:vAlign w:val="center"/>
                </w:tcPr>
                <w:p w:rsidRPr="0056218F" w:rsidR="00C8657D" w:rsidP="00C8657D" w:rsidRDefault="00C8657D" w14:paraId="7B1BEFBD" w14:textId="7DDBDBD0">
                  <w:pPr>
                    <w:pStyle w:val="BodyText"/>
                    <w:rPr>
                      <w:i/>
                      <w:iCs/>
                      <w:sz w:val="20"/>
                    </w:rPr>
                  </w:pPr>
                  <w:r w:rsidRPr="005D424F">
                    <w:rPr>
                      <w:i/>
                      <w:iCs/>
                      <w:sz w:val="20"/>
                    </w:rPr>
                    <w:t xml:space="preserve">120 days before the anniversary date of the </w:t>
                  </w:r>
                  <w:r>
                    <w:rPr>
                      <w:i/>
                      <w:iCs/>
                      <w:sz w:val="20"/>
                    </w:rPr>
                    <w:t xml:space="preserve">mailing of the </w:t>
                  </w:r>
                  <w:r w:rsidRPr="005D424F">
                    <w:rPr>
                      <w:i/>
                      <w:iCs/>
                      <w:sz w:val="20"/>
                    </w:rPr>
                    <w:t>company</w:t>
                  </w:r>
                  <w:r w:rsidR="00113572">
                    <w:rPr>
                      <w:i/>
                      <w:iCs/>
                      <w:sz w:val="20"/>
                    </w:rPr>
                    <w:t>’</w:t>
                  </w:r>
                  <w:r w:rsidRPr="005D424F">
                    <w:rPr>
                      <w:i/>
                      <w:iCs/>
                      <w:sz w:val="20"/>
                    </w:rPr>
                    <w:t>s proxy statement for the previous year</w:t>
                  </w:r>
                  <w:r w:rsidR="00113572">
                    <w:rPr>
                      <w:i/>
                      <w:iCs/>
                      <w:sz w:val="20"/>
                    </w:rPr>
                    <w:t>’</w:t>
                  </w:r>
                  <w:r w:rsidRPr="005D424F">
                    <w:rPr>
                      <w:i/>
                      <w:iCs/>
                      <w:sz w:val="20"/>
                    </w:rPr>
                    <w:t>s annual meetin</w:t>
                  </w:r>
                  <w:r>
                    <w:rPr>
                      <w:i/>
                      <w:iCs/>
                      <w:sz w:val="20"/>
                    </w:rPr>
                    <w:t>g</w:t>
                  </w:r>
                </w:p>
              </w:tc>
            </w:tr>
            <w:tr w:rsidR="00C8657D" w:rsidTr="00363DE2" w14:paraId="54775F7D" w14:textId="77777777">
              <w:trPr>
                <w:jc w:val="center"/>
              </w:trPr>
              <w:tc>
                <w:tcPr>
                  <w:tcW w:w="4380" w:type="dxa"/>
                  <w:vMerge/>
                  <w:tcBorders>
                    <w:top w:val="nil"/>
                    <w:left w:val="nil"/>
                    <w:bottom w:val="nil"/>
                    <w:right w:val="nil"/>
                  </w:tcBorders>
                  <w:vAlign w:val="center"/>
                </w:tcPr>
                <w:p w:rsidRPr="0056218F" w:rsidR="00C8657D" w:rsidP="00C8657D" w:rsidRDefault="00C8657D" w14:paraId="7EC98BC5" w14:textId="77777777">
                  <w:pPr>
                    <w:pStyle w:val="BodyText"/>
                    <w:rPr>
                      <w:sz w:val="20"/>
                    </w:rPr>
                  </w:pPr>
                </w:p>
              </w:tc>
              <w:tc>
                <w:tcPr>
                  <w:tcW w:w="2790" w:type="dxa"/>
                  <w:tcBorders>
                    <w:top w:val="nil"/>
                    <w:left w:val="nil"/>
                    <w:bottom w:val="nil"/>
                    <w:right w:val="nil"/>
                  </w:tcBorders>
                  <w:vAlign w:val="center"/>
                </w:tcPr>
                <w:p w:rsidRPr="0056218F" w:rsidR="00C8657D" w:rsidP="00C8657D" w:rsidRDefault="00C8657D" w14:paraId="273AA3F0" w14:textId="7E6AE54A">
                  <w:pPr>
                    <w:pStyle w:val="BodyText"/>
                    <w:rPr>
                      <w:i/>
                      <w:iCs/>
                      <w:sz w:val="20"/>
                    </w:rPr>
                  </w:pPr>
                  <w:r w:rsidRPr="0056218F">
                    <w:rPr>
                      <w:i/>
                      <w:iCs/>
                      <w:sz w:val="20"/>
                    </w:rPr>
                    <w:t>Advance notice bylaw deadline</w:t>
                  </w:r>
                </w:p>
              </w:tc>
              <w:tc>
                <w:tcPr>
                  <w:tcW w:w="6990" w:type="dxa"/>
                  <w:tcBorders>
                    <w:top w:val="nil"/>
                    <w:left w:val="nil"/>
                    <w:bottom w:val="nil"/>
                    <w:right w:val="nil"/>
                  </w:tcBorders>
                  <w:vAlign w:val="center"/>
                </w:tcPr>
                <w:p w:rsidRPr="0056218F" w:rsidR="00C8657D" w:rsidP="00C8657D" w:rsidRDefault="00C8657D" w14:paraId="1503F915" w14:textId="05DFCC8D">
                  <w:pPr>
                    <w:pStyle w:val="BodyText"/>
                    <w:rPr>
                      <w:i/>
                      <w:iCs/>
                      <w:sz w:val="20"/>
                    </w:rPr>
                  </w:pPr>
                  <w:r>
                    <w:rPr>
                      <w:i/>
                      <w:iCs/>
                      <w:sz w:val="20"/>
                    </w:rPr>
                    <w:t xml:space="preserve">The </w:t>
                  </w:r>
                  <w:r w:rsidRPr="005D424F">
                    <w:rPr>
                      <w:i/>
                      <w:iCs/>
                      <w:sz w:val="20"/>
                    </w:rPr>
                    <w:t xml:space="preserve">date specified by </w:t>
                  </w:r>
                  <w:r>
                    <w:rPr>
                      <w:i/>
                      <w:iCs/>
                      <w:sz w:val="20"/>
                    </w:rPr>
                    <w:t>the company</w:t>
                  </w:r>
                  <w:r w:rsidR="00113572">
                    <w:rPr>
                      <w:i/>
                      <w:iCs/>
                      <w:sz w:val="20"/>
                    </w:rPr>
                    <w:t>’</w:t>
                  </w:r>
                  <w:r>
                    <w:rPr>
                      <w:i/>
                      <w:iCs/>
                      <w:sz w:val="20"/>
                    </w:rPr>
                    <w:t>s</w:t>
                  </w:r>
                  <w:r w:rsidRPr="005D424F">
                    <w:rPr>
                      <w:i/>
                      <w:iCs/>
                      <w:sz w:val="20"/>
                    </w:rPr>
                    <w:t xml:space="preserve"> advance notice </w:t>
                  </w:r>
                  <w:r>
                    <w:rPr>
                      <w:i/>
                      <w:iCs/>
                      <w:sz w:val="20"/>
                    </w:rPr>
                    <w:t xml:space="preserve">bylaw </w:t>
                  </w:r>
                  <w:r w:rsidRPr="005D424F">
                    <w:rPr>
                      <w:i/>
                      <w:iCs/>
                      <w:sz w:val="20"/>
                    </w:rPr>
                    <w:t>provision</w:t>
                  </w:r>
                  <w:r>
                    <w:rPr>
                      <w:i/>
                      <w:iCs/>
                      <w:sz w:val="20"/>
                    </w:rPr>
                    <w:t xml:space="preserve"> or, if the company has not adopted an advance notice bylaw, a</w:t>
                  </w:r>
                  <w:r w:rsidRPr="005D424F">
                    <w:rPr>
                      <w:i/>
                      <w:iCs/>
                      <w:sz w:val="20"/>
                    </w:rPr>
                    <w:t xml:space="preserve">t least 45 days before the date on which the </w:t>
                  </w:r>
                  <w:r>
                    <w:rPr>
                      <w:i/>
                      <w:iCs/>
                      <w:sz w:val="20"/>
                    </w:rPr>
                    <w:t>company</w:t>
                  </w:r>
                  <w:r w:rsidRPr="005D424F">
                    <w:rPr>
                      <w:i/>
                      <w:iCs/>
                      <w:sz w:val="20"/>
                    </w:rPr>
                    <w:t xml:space="preserve"> first sent its proxy materials for the prior year</w:t>
                  </w:r>
                  <w:r w:rsidR="00113572">
                    <w:rPr>
                      <w:i/>
                      <w:iCs/>
                      <w:sz w:val="20"/>
                    </w:rPr>
                    <w:t>’</w:t>
                  </w:r>
                  <w:r w:rsidRPr="005D424F">
                    <w:rPr>
                      <w:i/>
                      <w:iCs/>
                      <w:sz w:val="20"/>
                    </w:rPr>
                    <w:t>s annual meeting</w:t>
                  </w:r>
                </w:p>
              </w:tc>
            </w:tr>
            <w:tr w:rsidR="00C8657D" w:rsidTr="00363DE2" w14:paraId="52F0892C" w14:textId="77777777">
              <w:trPr>
                <w:jc w:val="center"/>
              </w:trPr>
              <w:tc>
                <w:tcPr>
                  <w:tcW w:w="4380" w:type="dxa"/>
                  <w:vMerge/>
                  <w:tcBorders>
                    <w:top w:val="nil"/>
                    <w:left w:val="nil"/>
                    <w:bottom w:val="nil"/>
                    <w:right w:val="nil"/>
                  </w:tcBorders>
                  <w:vAlign w:val="center"/>
                </w:tcPr>
                <w:p w:rsidRPr="0056218F" w:rsidR="00C8657D" w:rsidP="00C8657D" w:rsidRDefault="00C8657D" w14:paraId="0297157B" w14:textId="77777777">
                  <w:pPr>
                    <w:pStyle w:val="BodyText"/>
                    <w:rPr>
                      <w:sz w:val="20"/>
                    </w:rPr>
                  </w:pPr>
                </w:p>
              </w:tc>
              <w:tc>
                <w:tcPr>
                  <w:tcW w:w="2790" w:type="dxa"/>
                  <w:tcBorders>
                    <w:top w:val="nil"/>
                    <w:left w:val="nil"/>
                    <w:bottom w:val="nil"/>
                    <w:right w:val="nil"/>
                  </w:tcBorders>
                  <w:vAlign w:val="center"/>
                </w:tcPr>
                <w:p w:rsidRPr="0056218F" w:rsidR="00C8657D" w:rsidP="00C8657D" w:rsidRDefault="00C8657D" w14:paraId="7D587644" w14:textId="16A41D54">
                  <w:pPr>
                    <w:pStyle w:val="BodyText"/>
                    <w:rPr>
                      <w:i/>
                      <w:iCs/>
                      <w:sz w:val="20"/>
                    </w:rPr>
                  </w:pPr>
                  <w:r w:rsidRPr="0056218F">
                    <w:rPr>
                      <w:i/>
                      <w:iCs/>
                      <w:sz w:val="20"/>
                    </w:rPr>
                    <w:t>Proxy access bylaw deadline</w:t>
                  </w:r>
                </w:p>
              </w:tc>
              <w:tc>
                <w:tcPr>
                  <w:tcW w:w="6990" w:type="dxa"/>
                  <w:tcBorders>
                    <w:top w:val="nil"/>
                    <w:left w:val="nil"/>
                    <w:bottom w:val="nil"/>
                    <w:right w:val="nil"/>
                  </w:tcBorders>
                  <w:vAlign w:val="center"/>
                </w:tcPr>
                <w:p w:rsidRPr="0056218F" w:rsidR="00C8657D" w:rsidP="00C8657D" w:rsidRDefault="00C8657D" w14:paraId="791FC5B4" w14:textId="718465A0">
                  <w:pPr>
                    <w:pStyle w:val="BodyText"/>
                    <w:rPr>
                      <w:i/>
                      <w:iCs/>
                      <w:sz w:val="20"/>
                    </w:rPr>
                  </w:pPr>
                  <w:r>
                    <w:rPr>
                      <w:i/>
                      <w:iCs/>
                      <w:sz w:val="20"/>
                    </w:rPr>
                    <w:t>Varies – review company bylaws</w:t>
                  </w:r>
                </w:p>
              </w:tc>
            </w:tr>
            <w:tr w:rsidR="00C8657D" w:rsidTr="00363DE2" w14:paraId="2A7C2331" w14:textId="77777777">
              <w:trPr>
                <w:jc w:val="center"/>
              </w:trPr>
              <w:tc>
                <w:tcPr>
                  <w:tcW w:w="4380" w:type="dxa"/>
                  <w:vMerge/>
                  <w:tcBorders>
                    <w:top w:val="nil"/>
                    <w:left w:val="nil"/>
                    <w:bottom w:val="nil"/>
                    <w:right w:val="nil"/>
                  </w:tcBorders>
                  <w:vAlign w:val="center"/>
                </w:tcPr>
                <w:p w:rsidRPr="0056218F" w:rsidR="00C8657D" w:rsidP="00C8657D" w:rsidRDefault="00C8657D" w14:paraId="70CB346C" w14:textId="77777777">
                  <w:pPr>
                    <w:pStyle w:val="BodyText"/>
                    <w:rPr>
                      <w:sz w:val="20"/>
                    </w:rPr>
                  </w:pPr>
                </w:p>
              </w:tc>
              <w:tc>
                <w:tcPr>
                  <w:tcW w:w="2790" w:type="dxa"/>
                  <w:tcBorders>
                    <w:top w:val="nil"/>
                    <w:left w:val="nil"/>
                    <w:bottom w:val="nil"/>
                    <w:right w:val="nil"/>
                  </w:tcBorders>
                  <w:vAlign w:val="center"/>
                </w:tcPr>
                <w:p w:rsidRPr="0056218F" w:rsidR="00C8657D" w:rsidP="00C8657D" w:rsidRDefault="00C8657D" w14:paraId="76284428" w14:textId="6FE864CE">
                  <w:pPr>
                    <w:pStyle w:val="BodyText"/>
                    <w:rPr>
                      <w:i/>
                      <w:iCs/>
                      <w:sz w:val="20"/>
                    </w:rPr>
                  </w:pPr>
                  <w:r w:rsidRPr="0056218F">
                    <w:rPr>
                      <w:i/>
                      <w:iCs/>
                      <w:sz w:val="20"/>
                    </w:rPr>
                    <w:t xml:space="preserve">Rule </w:t>
                  </w:r>
                  <w:proofErr w:type="spellStart"/>
                  <w:r w:rsidRPr="0056218F">
                    <w:rPr>
                      <w:i/>
                      <w:iCs/>
                      <w:sz w:val="20"/>
                    </w:rPr>
                    <w:t>14a</w:t>
                  </w:r>
                  <w:proofErr w:type="spellEnd"/>
                  <w:r w:rsidRPr="0056218F">
                    <w:rPr>
                      <w:i/>
                      <w:iCs/>
                      <w:sz w:val="20"/>
                    </w:rPr>
                    <w:t>-19 deadline</w:t>
                  </w:r>
                </w:p>
              </w:tc>
              <w:tc>
                <w:tcPr>
                  <w:tcW w:w="6990" w:type="dxa"/>
                  <w:tcBorders>
                    <w:top w:val="nil"/>
                    <w:left w:val="nil"/>
                    <w:bottom w:val="nil"/>
                    <w:right w:val="nil"/>
                  </w:tcBorders>
                  <w:vAlign w:val="center"/>
                </w:tcPr>
                <w:p w:rsidRPr="0056218F" w:rsidR="00C8657D" w:rsidP="00C8657D" w:rsidRDefault="00C8657D" w14:paraId="3EA71277" w14:textId="043D2BB9">
                  <w:pPr>
                    <w:pStyle w:val="BodyText"/>
                    <w:rPr>
                      <w:i/>
                      <w:iCs/>
                      <w:sz w:val="20"/>
                    </w:rPr>
                  </w:pPr>
                  <w:r>
                    <w:rPr>
                      <w:i/>
                      <w:iCs/>
                      <w:sz w:val="20"/>
                    </w:rPr>
                    <w:t>60 days prior to anniversary date of previous year</w:t>
                  </w:r>
                  <w:r w:rsidR="00113572">
                    <w:rPr>
                      <w:i/>
                      <w:iCs/>
                      <w:sz w:val="20"/>
                    </w:rPr>
                    <w:t>’</w:t>
                  </w:r>
                  <w:r>
                    <w:rPr>
                      <w:i/>
                      <w:iCs/>
                      <w:sz w:val="20"/>
                    </w:rPr>
                    <w:t>s annual meeting</w:t>
                  </w:r>
                </w:p>
              </w:tc>
            </w:tr>
            <w:tr w:rsidR="00C8657D" w:rsidTr="00363DE2" w14:paraId="5B8EE486" w14:textId="77777777">
              <w:trPr>
                <w:jc w:val="center"/>
              </w:trPr>
              <w:tc>
                <w:tcPr>
                  <w:tcW w:w="4380" w:type="dxa"/>
                  <w:tcBorders>
                    <w:top w:val="nil"/>
                    <w:left w:val="nil"/>
                    <w:bottom w:val="nil"/>
                    <w:right w:val="nil"/>
                  </w:tcBorders>
                  <w:vAlign w:val="center"/>
                </w:tcPr>
                <w:p w:rsidRPr="0056218F" w:rsidR="00C8657D" w:rsidP="00C8657D" w:rsidRDefault="00C8657D" w14:paraId="6A030E5C" w14:textId="3C759D28">
                  <w:pPr>
                    <w:pStyle w:val="BodyText"/>
                    <w:rPr>
                      <w:sz w:val="20"/>
                    </w:rPr>
                  </w:pPr>
                  <w:r w:rsidRPr="0056218F">
                    <w:rPr>
                      <w:sz w:val="20"/>
                    </w:rPr>
                    <w:t>Preliminary proxy statement</w:t>
                  </w:r>
                </w:p>
              </w:tc>
              <w:tc>
                <w:tcPr>
                  <w:tcW w:w="9780" w:type="dxa"/>
                  <w:gridSpan w:val="2"/>
                  <w:tcBorders>
                    <w:top w:val="nil"/>
                    <w:left w:val="nil"/>
                    <w:bottom w:val="nil"/>
                    <w:right w:val="nil"/>
                  </w:tcBorders>
                  <w:vAlign w:val="center"/>
                </w:tcPr>
                <w:p w:rsidRPr="0056218F" w:rsidR="00C8657D" w:rsidP="00C8657D" w:rsidRDefault="00C8657D" w14:paraId="124AD30A" w14:textId="512AA93A">
                  <w:pPr>
                    <w:pStyle w:val="BodyText"/>
                    <w:rPr>
                      <w:sz w:val="20"/>
                    </w:rPr>
                  </w:pPr>
                  <w:r w:rsidRPr="0056218F">
                    <w:rPr>
                      <w:sz w:val="20"/>
                    </w:rPr>
                    <w:t>File at least 10 calendar days before definitive proxy statement is first sent or given to security holders</w:t>
                  </w:r>
                </w:p>
              </w:tc>
            </w:tr>
            <w:tr w:rsidR="00C8657D" w:rsidTr="00363DE2" w14:paraId="19E0EA56" w14:textId="77777777">
              <w:trPr>
                <w:jc w:val="center"/>
              </w:trPr>
              <w:tc>
                <w:tcPr>
                  <w:tcW w:w="4380" w:type="dxa"/>
                  <w:tcBorders>
                    <w:top w:val="nil"/>
                    <w:left w:val="nil"/>
                    <w:bottom w:val="nil"/>
                    <w:right w:val="nil"/>
                  </w:tcBorders>
                  <w:vAlign w:val="center"/>
                </w:tcPr>
                <w:p w:rsidRPr="0056218F" w:rsidR="00C8657D" w:rsidP="00C8657D" w:rsidRDefault="00C8657D" w14:paraId="13E1C3DF" w14:textId="27D735D1">
                  <w:pPr>
                    <w:pStyle w:val="BodyText"/>
                    <w:rPr>
                      <w:sz w:val="20"/>
                    </w:rPr>
                  </w:pPr>
                  <w:r w:rsidRPr="0056218F">
                    <w:rPr>
                      <w:sz w:val="20"/>
                    </w:rPr>
                    <w:t>Broker search cards</w:t>
                  </w:r>
                </w:p>
              </w:tc>
              <w:tc>
                <w:tcPr>
                  <w:tcW w:w="9780" w:type="dxa"/>
                  <w:gridSpan w:val="2"/>
                  <w:tcBorders>
                    <w:top w:val="nil"/>
                    <w:left w:val="nil"/>
                    <w:bottom w:val="nil"/>
                    <w:right w:val="nil"/>
                  </w:tcBorders>
                  <w:vAlign w:val="center"/>
                </w:tcPr>
                <w:p w:rsidRPr="0056218F" w:rsidR="00C8657D" w:rsidP="00C8657D" w:rsidRDefault="00C8657D" w14:paraId="5723F7A9" w14:textId="0C21AA06">
                  <w:pPr>
                    <w:pStyle w:val="BodyText"/>
                    <w:rPr>
                      <w:sz w:val="20"/>
                    </w:rPr>
                  </w:pPr>
                  <w:r w:rsidRPr="0056218F">
                    <w:rPr>
                      <w:sz w:val="20"/>
                    </w:rPr>
                    <w:t>At least 20 business days before record date</w:t>
                  </w:r>
                  <w:r>
                    <w:rPr>
                      <w:sz w:val="20"/>
                    </w:rPr>
                    <w:t xml:space="preserve"> (Rule </w:t>
                  </w:r>
                  <w:proofErr w:type="spellStart"/>
                  <w:r>
                    <w:rPr>
                      <w:sz w:val="20"/>
                    </w:rPr>
                    <w:t>14a</w:t>
                  </w:r>
                  <w:proofErr w:type="spellEnd"/>
                  <w:r>
                    <w:rPr>
                      <w:sz w:val="20"/>
                    </w:rPr>
                    <w:t>-13)</w:t>
                  </w:r>
                </w:p>
              </w:tc>
            </w:tr>
            <w:tr w:rsidR="00C8657D" w:rsidTr="00363DE2" w14:paraId="22CD6A74" w14:textId="77777777">
              <w:trPr>
                <w:jc w:val="center"/>
              </w:trPr>
              <w:tc>
                <w:tcPr>
                  <w:tcW w:w="4380" w:type="dxa"/>
                  <w:tcBorders>
                    <w:top w:val="nil"/>
                    <w:left w:val="nil"/>
                    <w:bottom w:val="nil"/>
                    <w:right w:val="nil"/>
                  </w:tcBorders>
                  <w:vAlign w:val="center"/>
                </w:tcPr>
                <w:p w:rsidRPr="0056218F" w:rsidR="00C8657D" w:rsidP="00C8657D" w:rsidRDefault="00C8657D" w14:paraId="648A93D8" w14:textId="1CFE5AC3">
                  <w:pPr>
                    <w:pStyle w:val="BodyText"/>
                    <w:rPr>
                      <w:sz w:val="20"/>
                    </w:rPr>
                  </w:pPr>
                  <w:r w:rsidRPr="0056218F">
                    <w:rPr>
                      <w:sz w:val="20"/>
                    </w:rPr>
                    <w:t>Record date</w:t>
                  </w:r>
                </w:p>
              </w:tc>
              <w:tc>
                <w:tcPr>
                  <w:tcW w:w="9780" w:type="dxa"/>
                  <w:gridSpan w:val="2"/>
                  <w:tcBorders>
                    <w:top w:val="nil"/>
                    <w:left w:val="nil"/>
                    <w:bottom w:val="nil"/>
                    <w:right w:val="nil"/>
                  </w:tcBorders>
                  <w:vAlign w:val="center"/>
                </w:tcPr>
                <w:p w:rsidRPr="00985C35" w:rsidR="00C8657D" w:rsidP="00C8657D" w:rsidRDefault="00C8657D" w14:paraId="3356C4EC" w14:textId="71D453A2">
                  <w:pPr>
                    <w:pStyle w:val="BodyText"/>
                    <w:rPr>
                      <w:sz w:val="20"/>
                    </w:rPr>
                  </w:pPr>
                  <w:r w:rsidRPr="0056218F">
                    <w:rPr>
                      <w:sz w:val="20"/>
                    </w:rPr>
                    <w:t>Review state law and organizational documen</w:t>
                  </w:r>
                  <w:r>
                    <w:rPr>
                      <w:sz w:val="20"/>
                    </w:rPr>
                    <w:t>t</w:t>
                  </w:r>
                  <w:r w:rsidRPr="0056218F">
                    <w:rPr>
                      <w:sz w:val="20"/>
                    </w:rPr>
                    <w:t xml:space="preserve"> requirements; notify stock exchange if applicable</w:t>
                  </w:r>
                  <w:r>
                    <w:rPr>
                      <w:sz w:val="20"/>
                    </w:rPr>
                    <w:t xml:space="preserve">. </w:t>
                  </w:r>
                </w:p>
              </w:tc>
            </w:tr>
            <w:tr w:rsidR="00C8657D" w:rsidTr="00363DE2" w14:paraId="38B8212D" w14:textId="77777777">
              <w:trPr>
                <w:jc w:val="center"/>
              </w:trPr>
              <w:tc>
                <w:tcPr>
                  <w:tcW w:w="4380" w:type="dxa"/>
                  <w:tcBorders>
                    <w:top w:val="nil"/>
                    <w:left w:val="nil"/>
                    <w:bottom w:val="nil"/>
                    <w:right w:val="nil"/>
                  </w:tcBorders>
                  <w:vAlign w:val="center"/>
                </w:tcPr>
                <w:p w:rsidRPr="0056218F" w:rsidR="00C8657D" w:rsidP="00C8657D" w:rsidRDefault="00C8657D" w14:paraId="50C4A840" w14:textId="6A54D984">
                  <w:pPr>
                    <w:pStyle w:val="BodyText"/>
                    <w:rPr>
                      <w:sz w:val="20"/>
                    </w:rPr>
                  </w:pPr>
                  <w:r w:rsidRPr="0056218F">
                    <w:rPr>
                      <w:sz w:val="20"/>
                    </w:rPr>
                    <w:t>Notice of internet availability (if rely on notice and access)</w:t>
                  </w:r>
                </w:p>
              </w:tc>
              <w:tc>
                <w:tcPr>
                  <w:tcW w:w="9780" w:type="dxa"/>
                  <w:gridSpan w:val="2"/>
                  <w:tcBorders>
                    <w:top w:val="nil"/>
                    <w:left w:val="nil"/>
                    <w:bottom w:val="nil"/>
                    <w:right w:val="nil"/>
                  </w:tcBorders>
                  <w:vAlign w:val="center"/>
                </w:tcPr>
                <w:p w:rsidRPr="003D4C00" w:rsidR="00C8657D" w:rsidP="00C8657D" w:rsidRDefault="00C8657D" w14:paraId="2377745F" w14:textId="4FA2328D">
                  <w:pPr>
                    <w:pStyle w:val="BodyText"/>
                    <w:rPr>
                      <w:sz w:val="20"/>
                    </w:rPr>
                  </w:pPr>
                  <w:r w:rsidRPr="003D4C00">
                    <w:rPr>
                      <w:sz w:val="20"/>
                    </w:rPr>
                    <w:t xml:space="preserve">File separately from definitive proxy statement as </w:t>
                  </w:r>
                  <w:proofErr w:type="spellStart"/>
                  <w:r w:rsidRPr="003D4C00">
                    <w:rPr>
                      <w:sz w:val="20"/>
                    </w:rPr>
                    <w:t>DEFA14A</w:t>
                  </w:r>
                  <w:proofErr w:type="spellEnd"/>
                  <w:r w:rsidRPr="003D4C00">
                    <w:rPr>
                      <w:sz w:val="20"/>
                    </w:rPr>
                    <w:t xml:space="preserve"> at least 40 days prior to the meeting</w:t>
                  </w:r>
                </w:p>
              </w:tc>
            </w:tr>
            <w:tr w:rsidR="00C8657D" w:rsidTr="00363DE2" w14:paraId="5B616B3A" w14:textId="77777777">
              <w:trPr>
                <w:jc w:val="center"/>
              </w:trPr>
              <w:tc>
                <w:tcPr>
                  <w:tcW w:w="4380" w:type="dxa"/>
                  <w:tcBorders>
                    <w:top w:val="nil"/>
                    <w:left w:val="nil"/>
                    <w:bottom w:val="nil"/>
                    <w:right w:val="nil"/>
                  </w:tcBorders>
                  <w:vAlign w:val="center"/>
                </w:tcPr>
                <w:p w:rsidRPr="0056218F" w:rsidR="00C8657D" w:rsidP="00C8657D" w:rsidRDefault="00C8657D" w14:paraId="0ADD8BD3" w14:textId="187AE180">
                  <w:pPr>
                    <w:pStyle w:val="BodyText"/>
                    <w:rPr>
                      <w:sz w:val="20"/>
                    </w:rPr>
                  </w:pPr>
                  <w:r w:rsidRPr="0056218F">
                    <w:rPr>
                      <w:sz w:val="20"/>
                    </w:rPr>
                    <w:t>Definitive proxy statement and form of proxy (card)</w:t>
                  </w:r>
                </w:p>
              </w:tc>
              <w:tc>
                <w:tcPr>
                  <w:tcW w:w="9780" w:type="dxa"/>
                  <w:gridSpan w:val="2"/>
                  <w:tcBorders>
                    <w:top w:val="nil"/>
                    <w:left w:val="nil"/>
                    <w:bottom w:val="nil"/>
                    <w:right w:val="nil"/>
                  </w:tcBorders>
                  <w:vAlign w:val="center"/>
                </w:tcPr>
                <w:p w:rsidRPr="0056218F" w:rsidR="00C8657D" w:rsidP="00C8657D" w:rsidRDefault="00C8657D" w14:paraId="7A989815" w14:textId="5FDB4777">
                  <w:pPr>
                    <w:pStyle w:val="BodyText"/>
                    <w:spacing w:after="0"/>
                    <w:rPr>
                      <w:sz w:val="20"/>
                    </w:rPr>
                  </w:pPr>
                  <w:r w:rsidRPr="0056218F">
                    <w:rPr>
                      <w:sz w:val="20"/>
                    </w:rPr>
                    <w:t xml:space="preserve">File as </w:t>
                  </w:r>
                  <w:r w:rsidRPr="00985C35">
                    <w:rPr>
                      <w:sz w:val="20"/>
                    </w:rPr>
                    <w:t>DEF 14A</w:t>
                  </w:r>
                  <w:r w:rsidRPr="0056218F">
                    <w:rPr>
                      <w:sz w:val="20"/>
                    </w:rPr>
                    <w:t xml:space="preserve"> before or concurrently on date first sent or given to security holders; post to internet site</w:t>
                  </w:r>
                  <w:r>
                    <w:rPr>
                      <w:sz w:val="20"/>
                    </w:rPr>
                    <w:t xml:space="preserve"> (other than EDGAR).   </w:t>
                  </w:r>
                </w:p>
                <w:p w:rsidRPr="0056218F" w:rsidR="00C8657D" w:rsidP="00C8657D" w:rsidRDefault="00C8657D" w14:paraId="7049D446" w14:textId="636F5071">
                  <w:pPr>
                    <w:pStyle w:val="BodyText"/>
                    <w:spacing w:after="0"/>
                    <w:rPr>
                      <w:sz w:val="20"/>
                    </w:rPr>
                  </w:pPr>
                  <w:r w:rsidRPr="0056218F">
                    <w:rPr>
                      <w:sz w:val="20"/>
                    </w:rPr>
                    <w:t xml:space="preserve">File </w:t>
                  </w:r>
                  <w:r>
                    <w:rPr>
                      <w:sz w:val="20"/>
                    </w:rPr>
                    <w:t xml:space="preserve">definitive proxy statement </w:t>
                  </w:r>
                  <w:r w:rsidRPr="0056218F">
                    <w:rPr>
                      <w:sz w:val="20"/>
                    </w:rPr>
                    <w:t>not later than 120 days after end of prior fiscal year if Form 10-K incorporated Part III disclosure from definitive proxy statement (May 2, 2022)</w:t>
                  </w:r>
                </w:p>
              </w:tc>
            </w:tr>
            <w:tr w:rsidR="00C8657D" w:rsidTr="00363DE2" w14:paraId="12538863" w14:textId="77777777">
              <w:trPr>
                <w:jc w:val="center"/>
              </w:trPr>
              <w:tc>
                <w:tcPr>
                  <w:tcW w:w="4380" w:type="dxa"/>
                  <w:tcBorders>
                    <w:top w:val="nil"/>
                    <w:left w:val="nil"/>
                    <w:bottom w:val="nil"/>
                    <w:right w:val="nil"/>
                  </w:tcBorders>
                  <w:vAlign w:val="center"/>
                </w:tcPr>
                <w:p w:rsidRPr="0056218F" w:rsidR="00C8657D" w:rsidP="00C8657D" w:rsidRDefault="00C8657D" w14:paraId="37A1EA40" w14:textId="7CC9653C">
                  <w:pPr>
                    <w:pStyle w:val="BodyText"/>
                    <w:rPr>
                      <w:sz w:val="20"/>
                    </w:rPr>
                  </w:pPr>
                  <w:r>
                    <w:rPr>
                      <w:sz w:val="20"/>
                    </w:rPr>
                    <w:t>Form 8-K Item 5.07 Current Report</w:t>
                  </w:r>
                </w:p>
              </w:tc>
              <w:tc>
                <w:tcPr>
                  <w:tcW w:w="9780" w:type="dxa"/>
                  <w:gridSpan w:val="2"/>
                  <w:tcBorders>
                    <w:top w:val="nil"/>
                    <w:left w:val="nil"/>
                    <w:bottom w:val="nil"/>
                    <w:right w:val="nil"/>
                  </w:tcBorders>
                  <w:vAlign w:val="center"/>
                </w:tcPr>
                <w:p w:rsidRPr="0056218F" w:rsidR="00C8657D" w:rsidP="00C8657D" w:rsidRDefault="00C8657D" w14:paraId="59A46214" w14:textId="0212704B">
                  <w:pPr>
                    <w:pStyle w:val="BodyText"/>
                    <w:rPr>
                      <w:sz w:val="20"/>
                    </w:rPr>
                  </w:pPr>
                  <w:r>
                    <w:rPr>
                      <w:sz w:val="20"/>
                    </w:rPr>
                    <w:t>Report results of security holder votes not more than four business days after date of annual meeting</w:t>
                  </w:r>
                </w:p>
              </w:tc>
            </w:tr>
            <w:tr w:rsidR="00C8657D" w:rsidTr="00363DE2" w14:paraId="46608E65" w14:textId="77777777">
              <w:trPr>
                <w:jc w:val="center"/>
              </w:trPr>
              <w:tc>
                <w:tcPr>
                  <w:tcW w:w="4380" w:type="dxa"/>
                  <w:tcBorders>
                    <w:top w:val="nil"/>
                    <w:left w:val="nil"/>
                    <w:bottom w:val="nil"/>
                    <w:right w:val="nil"/>
                  </w:tcBorders>
                  <w:vAlign w:val="center"/>
                </w:tcPr>
                <w:p w:rsidRPr="0056218F" w:rsidR="00C8657D" w:rsidP="00C8657D" w:rsidRDefault="00C8657D" w14:paraId="0AA3B2C6" w14:textId="199BBE02">
                  <w:pPr>
                    <w:pStyle w:val="BodyText"/>
                    <w:rPr>
                      <w:sz w:val="20"/>
                    </w:rPr>
                  </w:pPr>
                  <w:r>
                    <w:rPr>
                      <w:sz w:val="20"/>
                    </w:rPr>
                    <w:t>Form 8-K Item 5.07(d) Current Report</w:t>
                  </w:r>
                </w:p>
              </w:tc>
              <w:tc>
                <w:tcPr>
                  <w:tcW w:w="9780" w:type="dxa"/>
                  <w:gridSpan w:val="2"/>
                  <w:tcBorders>
                    <w:top w:val="nil"/>
                    <w:left w:val="nil"/>
                    <w:bottom w:val="nil"/>
                    <w:right w:val="nil"/>
                  </w:tcBorders>
                  <w:vAlign w:val="center"/>
                </w:tcPr>
                <w:p w:rsidRPr="0056218F" w:rsidR="00C8657D" w:rsidP="00C8657D" w:rsidRDefault="00C8657D" w14:paraId="450E0848" w14:textId="660BB95F">
                  <w:pPr>
                    <w:pStyle w:val="BodyText"/>
                    <w:rPr>
                      <w:sz w:val="20"/>
                    </w:rPr>
                  </w:pPr>
                  <w:r>
                    <w:rPr>
                      <w:sz w:val="20"/>
                    </w:rPr>
                    <w:t>Report results of company</w:t>
                  </w:r>
                  <w:r w:rsidR="00113572">
                    <w:rPr>
                      <w:sz w:val="20"/>
                    </w:rPr>
                    <w:t>’</w:t>
                  </w:r>
                  <w:r>
                    <w:rPr>
                      <w:sz w:val="20"/>
                    </w:rPr>
                    <w:t xml:space="preserve">s decision on say-on-frequency vote, if applicable, </w:t>
                  </w:r>
                  <w:r w:rsidRPr="00EC6287">
                    <w:rPr>
                      <w:sz w:val="20"/>
                    </w:rPr>
                    <w:t>no later than 150 calendar days after the date of the end of</w:t>
                  </w:r>
                  <w:r>
                    <w:rPr>
                      <w:sz w:val="20"/>
                    </w:rPr>
                    <w:t xml:space="preserve"> </w:t>
                  </w:r>
                  <w:r w:rsidRPr="00EC6287">
                    <w:rPr>
                      <w:sz w:val="20"/>
                    </w:rPr>
                    <w:t xml:space="preserve">the annual or other meeting in which the vote required by Rule </w:t>
                  </w:r>
                  <w:proofErr w:type="spellStart"/>
                  <w:r w:rsidRPr="00EC6287">
                    <w:rPr>
                      <w:sz w:val="20"/>
                    </w:rPr>
                    <w:t>14a</w:t>
                  </w:r>
                  <w:proofErr w:type="spellEnd"/>
                  <w:r w:rsidRPr="00EC6287">
                    <w:rPr>
                      <w:sz w:val="20"/>
                    </w:rPr>
                    <w:t>-21(b) took place, but in</w:t>
                  </w:r>
                  <w:r>
                    <w:rPr>
                      <w:sz w:val="20"/>
                    </w:rPr>
                    <w:t xml:space="preserve"> </w:t>
                  </w:r>
                  <w:r w:rsidRPr="00EC6287">
                    <w:rPr>
                      <w:sz w:val="20"/>
                    </w:rPr>
                    <w:t>no event later than 60 calendar days prior to the deadline for the submission of shareholder</w:t>
                  </w:r>
                  <w:r>
                    <w:rPr>
                      <w:sz w:val="20"/>
                    </w:rPr>
                    <w:t xml:space="preserve"> </w:t>
                  </w:r>
                  <w:r w:rsidRPr="00EC6287">
                    <w:rPr>
                      <w:sz w:val="20"/>
                    </w:rPr>
                    <w:t xml:space="preserve">proposals under Rule </w:t>
                  </w:r>
                  <w:proofErr w:type="spellStart"/>
                  <w:r w:rsidRPr="00EC6287">
                    <w:rPr>
                      <w:sz w:val="20"/>
                    </w:rPr>
                    <w:t>14a</w:t>
                  </w:r>
                  <w:proofErr w:type="spellEnd"/>
                  <w:r w:rsidRPr="00EC6287">
                    <w:rPr>
                      <w:sz w:val="20"/>
                    </w:rPr>
                    <w:t xml:space="preserve">-8 for the subsequent annual meeting, as disclosed in the </w:t>
                  </w:r>
                  <w:r>
                    <w:rPr>
                      <w:sz w:val="20"/>
                    </w:rPr>
                    <w:t>company</w:t>
                  </w:r>
                  <w:r w:rsidR="00113572">
                    <w:rPr>
                      <w:sz w:val="20"/>
                    </w:rPr>
                    <w:t>’</w:t>
                  </w:r>
                  <w:r w:rsidRPr="00EC6287">
                    <w:rPr>
                      <w:sz w:val="20"/>
                    </w:rPr>
                    <w:t>s</w:t>
                  </w:r>
                  <w:r>
                    <w:rPr>
                      <w:sz w:val="20"/>
                    </w:rPr>
                    <w:t xml:space="preserve"> </w:t>
                  </w:r>
                  <w:r w:rsidRPr="00EC6287">
                    <w:rPr>
                      <w:sz w:val="20"/>
                    </w:rPr>
                    <w:t>proxy materials for the meeting at which the frequency vote occurred</w:t>
                  </w:r>
                </w:p>
              </w:tc>
            </w:tr>
          </w:tbl>
          <w:p w:rsidRPr="00E47B30" w:rsidR="00C8657D" w:rsidP="00C8657D" w:rsidRDefault="00C8657D" w14:paraId="520FDC93" w14:textId="53FFC7AC">
            <w:pPr>
              <w:pStyle w:val="BodyText"/>
              <w:spacing w:after="120"/>
            </w:pPr>
          </w:p>
        </w:tc>
      </w:tr>
    </w:tbl>
    <w:p w:rsidRPr="00E47B30" w:rsidR="006004EC" w:rsidP="00E708F1" w:rsidRDefault="006004EC" w14:paraId="557E0726" w14:textId="77777777">
      <w:bookmarkStart w:name="_Toc92793249" w:id="9"/>
    </w:p>
    <w:tbl>
      <w:tblPr>
        <w:tblpPr w:leftFromText="180" w:rightFromText="180" w:vertAnchor="page" w:horzAnchor="margin" w:tblpY="2566"/>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left w:w="115" w:type="dxa"/>
          <w:bottom w:w="115" w:type="dxa"/>
          <w:right w:w="115" w:type="dxa"/>
        </w:tblCellMar>
        <w:tblLook w:val="0000" w:firstRow="0" w:lastRow="0" w:firstColumn="0" w:lastColumn="0" w:noHBand="0" w:noVBand="0"/>
      </w:tblPr>
      <w:tblGrid>
        <w:gridCol w:w="14390"/>
      </w:tblGrid>
      <w:tr w:rsidRPr="00E47B30" w:rsidR="006266B9" w:rsidTr="00E708F1" w14:paraId="10B4C5EC" w14:textId="77777777">
        <w:trPr>
          <w:cantSplit/>
        </w:trPr>
        <w:tc>
          <w:tcPr>
            <w:tcW w:w="5000" w:type="pct"/>
            <w:tcBorders>
              <w:bottom w:val="single" w:color="auto" w:sz="4" w:space="0"/>
            </w:tcBorders>
            <w:shd w:val="clear" w:color="auto" w:fill="A6A6A6" w:themeFill="background1" w:themeFillShade="A6"/>
          </w:tcPr>
          <w:bookmarkEnd w:id="9"/>
          <w:p w:rsidRPr="006266B9" w:rsidR="006266B9" w:rsidP="006266B9" w:rsidRDefault="006266B9" w14:paraId="434D8A05" w14:textId="6ACFE8B1">
            <w:pPr>
              <w:pStyle w:val="BodyText"/>
              <w:spacing w:after="120"/>
              <w:jc w:val="center"/>
              <w:rPr>
                <w:b/>
                <w:bCs/>
                <w:color w:val="000000"/>
              </w:rPr>
            </w:pPr>
            <w:r w:rsidRPr="006266B9">
              <w:rPr>
                <w:b/>
                <w:bCs/>
                <w:szCs w:val="28"/>
              </w:rPr>
              <w:lastRenderedPageBreak/>
              <w:t>Schedule 14A Form Check</w:t>
            </w:r>
          </w:p>
        </w:tc>
      </w:tr>
      <w:tr w:rsidRPr="00E47B30" w:rsidR="006004EC" w:rsidTr="00E708F1" w14:paraId="03571E6B" w14:textId="77777777">
        <w:trPr>
          <w:cantSplit/>
        </w:trPr>
        <w:tc>
          <w:tcPr>
            <w:tcW w:w="5000" w:type="pct"/>
            <w:tcBorders>
              <w:bottom w:val="single" w:color="auto" w:sz="4" w:space="0"/>
            </w:tcBorders>
          </w:tcPr>
          <w:p w:rsidRPr="00E47B30" w:rsidR="006004EC" w:rsidP="0097006F" w:rsidRDefault="009A479E" w14:paraId="76F4BF9F" w14:textId="6F515D29">
            <w:pPr>
              <w:pStyle w:val="BodyText"/>
              <w:spacing w:after="120"/>
              <w:rPr>
                <w:b/>
                <w:bCs/>
                <w:color w:val="000000"/>
              </w:rPr>
            </w:pPr>
            <w:r w:rsidRPr="00E47B30">
              <w:rPr>
                <w:b/>
                <w:bCs/>
                <w:color w:val="000000"/>
              </w:rPr>
              <w:t>The table b</w:t>
            </w:r>
            <w:r w:rsidRPr="00E47B30" w:rsidR="006004EC">
              <w:rPr>
                <w:b/>
                <w:bCs/>
                <w:color w:val="000000"/>
              </w:rPr>
              <w:t xml:space="preserve">elow reflects primarily disclosure required in proxy statements </w:t>
            </w:r>
            <w:r w:rsidR="00E60AAF">
              <w:rPr>
                <w:b/>
                <w:bCs/>
                <w:color w:val="000000"/>
              </w:rPr>
              <w:t xml:space="preserve">and proxy cards </w:t>
            </w:r>
            <w:r w:rsidRPr="00E47B30" w:rsidR="006004EC">
              <w:rPr>
                <w:b/>
                <w:bCs/>
                <w:color w:val="000000"/>
              </w:rPr>
              <w:t>under SEC Schedule 14A and Regulation S-K for an annual meeting at which security holders</w:t>
            </w:r>
            <w:r w:rsidRPr="00E47B30" w:rsidR="00822337">
              <w:rPr>
                <w:b/>
                <w:bCs/>
                <w:color w:val="000000"/>
              </w:rPr>
              <w:t xml:space="preserve"> will act on typical matters, </w:t>
            </w:r>
            <w:r w:rsidRPr="00E47B30" w:rsidR="00B730AD">
              <w:rPr>
                <w:b/>
                <w:bCs/>
                <w:color w:val="000000"/>
              </w:rPr>
              <w:t>such as election of directors, ratification of auditor selection and approval of</w:t>
            </w:r>
            <w:r w:rsidRPr="00E47B30" w:rsidR="00822337">
              <w:rPr>
                <w:b/>
                <w:bCs/>
                <w:color w:val="000000"/>
              </w:rPr>
              <w:t xml:space="preserve"> a</w:t>
            </w:r>
            <w:r w:rsidRPr="00E47B30" w:rsidR="00B730AD">
              <w:rPr>
                <w:b/>
                <w:bCs/>
                <w:color w:val="000000"/>
              </w:rPr>
              <w:t xml:space="preserve"> say-on-pay resolution.</w:t>
            </w:r>
            <w:r w:rsidR="0011640B">
              <w:rPr>
                <w:b/>
                <w:bCs/>
                <w:color w:val="000000"/>
              </w:rPr>
              <w:t xml:space="preserve"> </w:t>
            </w:r>
            <w:r w:rsidRPr="00E47B30" w:rsidR="00B730AD">
              <w:rPr>
                <w:b/>
                <w:bCs/>
                <w:color w:val="000000"/>
              </w:rPr>
              <w:t>A</w:t>
            </w:r>
            <w:r w:rsidRPr="00E47B30" w:rsidR="006004EC">
              <w:rPr>
                <w:b/>
                <w:bCs/>
                <w:color w:val="000000"/>
              </w:rPr>
              <w:t xml:space="preserve">dditional disclosure requirements may apply if </w:t>
            </w:r>
            <w:r w:rsidRPr="00E47B30" w:rsidR="00822337">
              <w:rPr>
                <w:b/>
                <w:bCs/>
                <w:color w:val="000000"/>
              </w:rPr>
              <w:t xml:space="preserve">the company will submit </w:t>
            </w:r>
            <w:r w:rsidRPr="00E47B30" w:rsidR="006004EC">
              <w:rPr>
                <w:b/>
                <w:bCs/>
                <w:color w:val="000000"/>
              </w:rPr>
              <w:t>additional matters</w:t>
            </w:r>
            <w:r w:rsidRPr="00E47B30" w:rsidR="00822337">
              <w:rPr>
                <w:b/>
                <w:bCs/>
                <w:color w:val="000000"/>
              </w:rPr>
              <w:t>, such as approval of an equity compensation plan, a charter amendment, corporate governance policies or a business combination/disposition transaction,</w:t>
            </w:r>
            <w:r w:rsidRPr="00E47B30" w:rsidR="006004EC">
              <w:rPr>
                <w:b/>
                <w:bCs/>
                <w:color w:val="000000"/>
              </w:rPr>
              <w:t xml:space="preserve"> to security holders.</w:t>
            </w:r>
            <w:r w:rsidR="00CF3580">
              <w:rPr>
                <w:b/>
                <w:bCs/>
                <w:color w:val="000000"/>
              </w:rPr>
              <w:t xml:space="preserve"> </w:t>
            </w:r>
            <w:r w:rsidR="006266B9">
              <w:rPr>
                <w:b/>
                <w:bCs/>
                <w:color w:val="000000"/>
              </w:rPr>
              <w:t xml:space="preserve">In some cases, SEC rules will require the company to file a preliminary proxy statement that is subject to potential review by the SEC staff, who may have </w:t>
            </w:r>
            <w:r w:rsidR="00C8657D">
              <w:rPr>
                <w:b/>
                <w:bCs/>
                <w:color w:val="000000"/>
              </w:rPr>
              <w:t xml:space="preserve">comments that result in </w:t>
            </w:r>
            <w:r w:rsidR="00E60AAF">
              <w:rPr>
                <w:b/>
                <w:bCs/>
                <w:color w:val="000000"/>
              </w:rPr>
              <w:t>disclosure changes</w:t>
            </w:r>
            <w:r w:rsidR="00C8657D">
              <w:rPr>
                <w:b/>
                <w:bCs/>
                <w:color w:val="000000"/>
              </w:rPr>
              <w:t xml:space="preserve"> before the company files the definitive proxy statement and begins its proxy solicitation.</w:t>
            </w:r>
          </w:p>
          <w:p w:rsidRPr="00E47B30" w:rsidR="006004EC" w:rsidP="0097006F" w:rsidRDefault="006004EC" w14:paraId="26681E17" w14:textId="49D2ECC7">
            <w:pPr>
              <w:pStyle w:val="BodyText"/>
              <w:spacing w:after="120"/>
            </w:pPr>
            <w:r w:rsidRPr="00E47B30">
              <w:rPr>
                <w:b/>
                <w:bCs/>
                <w:color w:val="000000"/>
              </w:rPr>
              <w:t xml:space="preserve">Reviewers </w:t>
            </w:r>
            <w:r w:rsidR="00666105">
              <w:rPr>
                <w:b/>
                <w:bCs/>
                <w:color w:val="000000"/>
              </w:rPr>
              <w:t>should</w:t>
            </w:r>
            <w:r w:rsidRPr="00E47B30" w:rsidR="00D73219">
              <w:rPr>
                <w:b/>
                <w:bCs/>
                <w:color w:val="000000"/>
              </w:rPr>
              <w:t xml:space="preserve"> consult</w:t>
            </w:r>
            <w:r w:rsidRPr="00E47B30">
              <w:rPr>
                <w:b/>
                <w:bCs/>
                <w:color w:val="000000"/>
              </w:rPr>
              <w:t xml:space="preserve"> </w:t>
            </w:r>
            <w:hyperlink w:history="1" r:id="rId19">
              <w:r w:rsidRPr="00E47B30" w:rsidR="00D73219">
                <w:rPr>
                  <w:rStyle w:val="Hyperlink"/>
                  <w:b/>
                  <w:bCs/>
                </w:rPr>
                <w:t>the full text of Schedule 14A</w:t>
              </w:r>
            </w:hyperlink>
            <w:r w:rsidRPr="00E47B30">
              <w:rPr>
                <w:b/>
                <w:bCs/>
                <w:color w:val="000000"/>
              </w:rPr>
              <w:t xml:space="preserve"> as well as the sections of Regulation S-K and the SEC proxy rules cited</w:t>
            </w:r>
            <w:r w:rsidR="00E60AAF">
              <w:rPr>
                <w:b/>
                <w:bCs/>
                <w:color w:val="000000"/>
              </w:rPr>
              <w:t xml:space="preserve"> and applicable guidance published by the staff of the Division of Corporation Finance</w:t>
            </w:r>
            <w:r w:rsidRPr="00E47B30">
              <w:rPr>
                <w:b/>
                <w:bCs/>
                <w:color w:val="000000"/>
              </w:rPr>
              <w:t xml:space="preserve"> when preparing and/or reviewing a company</w:t>
            </w:r>
            <w:r w:rsidR="00113572">
              <w:rPr>
                <w:b/>
                <w:bCs/>
                <w:color w:val="000000"/>
              </w:rPr>
              <w:t>’</w:t>
            </w:r>
            <w:r w:rsidRPr="00E47B30">
              <w:rPr>
                <w:b/>
                <w:bCs/>
                <w:color w:val="000000"/>
              </w:rPr>
              <w:t>s proxy statement</w:t>
            </w:r>
            <w:r w:rsidR="00E60AAF">
              <w:rPr>
                <w:b/>
                <w:bCs/>
                <w:color w:val="000000"/>
              </w:rPr>
              <w:t xml:space="preserve"> and proxy card</w:t>
            </w:r>
            <w:r w:rsidRPr="00E47B30">
              <w:rPr>
                <w:b/>
                <w:bCs/>
                <w:color w:val="000000"/>
              </w:rPr>
              <w:t>.</w:t>
            </w:r>
          </w:p>
        </w:tc>
      </w:tr>
      <w:tr w:rsidRPr="00E47B30" w:rsidR="006004EC" w:rsidTr="00E708F1" w14:paraId="247925FF" w14:textId="77777777">
        <w:trPr>
          <w:cantSplit/>
        </w:trPr>
        <w:tc>
          <w:tcPr>
            <w:tcW w:w="5000" w:type="pct"/>
            <w:shd w:val="clear" w:color="auto" w:fill="auto"/>
          </w:tcPr>
          <w:p w:rsidRPr="00E47B30" w:rsidR="006004EC" w:rsidP="0097006F" w:rsidRDefault="006004EC" w14:paraId="40369BFA" w14:textId="77777777">
            <w:pPr>
              <w:pStyle w:val="BodyText"/>
              <w:spacing w:after="120"/>
              <w:rPr>
                <w:b/>
              </w:rPr>
            </w:pPr>
            <w:r w:rsidRPr="00E47B30">
              <w:rPr>
                <w:b/>
              </w:rPr>
              <w:t>Note concerning periods covered:</w:t>
            </w:r>
          </w:p>
          <w:p w:rsidRPr="00E47B30" w:rsidR="006004EC" w:rsidP="0097006F" w:rsidRDefault="000D00E3" w14:paraId="0A0AAD00" w14:textId="77D53D82">
            <w:pPr>
              <w:pStyle w:val="BodyText"/>
              <w:spacing w:after="120"/>
            </w:pPr>
            <w:hyperlink w:history="1" r:id="rId20">
              <w:r w:rsidRPr="00E47B30" w:rsidR="006004EC">
                <w:rPr>
                  <w:rStyle w:val="Hyperlink"/>
                </w:rPr>
                <w:t>General Instruction C to SEC Schedule 14A</w:t>
              </w:r>
            </w:hyperlink>
            <w:r w:rsidRPr="00E47B30" w:rsidR="006004EC">
              <w:t xml:space="preserve"> </w:t>
            </w:r>
            <w:r w:rsidRPr="00E47B30" w:rsidR="007D35C5">
              <w:t>includes the following instructions</w:t>
            </w:r>
            <w:r w:rsidRPr="00E47B30" w:rsidR="006004EC">
              <w:t>:</w:t>
            </w:r>
          </w:p>
          <w:p w:rsidRPr="00E47B30" w:rsidR="006004EC" w:rsidP="00877DC4" w:rsidRDefault="006004EC" w14:paraId="569B910C" w14:textId="77777777">
            <w:pPr>
              <w:pStyle w:val="ListBullet"/>
            </w:pPr>
            <w:r w:rsidRPr="00E47B30">
              <w:t xml:space="preserve">Except as otherwise specifically provided, where any item calls for information for a specified period with regard to directors, executive officers, officers or other persons holding specified positions or relationships, the information shall be given with regard to any person who held any of the specified positions or relationship at any time during the period. </w:t>
            </w:r>
          </w:p>
          <w:p w:rsidRPr="00E47B30" w:rsidR="006004EC" w:rsidP="00877DC4" w:rsidRDefault="006004EC" w14:paraId="29184E1B" w14:textId="77777777">
            <w:pPr>
              <w:pStyle w:val="ListBullet"/>
            </w:pPr>
            <w:r w:rsidRPr="00E47B30">
              <w:t>Information, other than information required by Item 404 of Regulation S-K, need not be included for any portion of the period during which such person did not hold any such position or relationship, provided that a statement to that effect is made in the proxy statement.</w:t>
            </w:r>
          </w:p>
        </w:tc>
      </w:tr>
      <w:tr w:rsidRPr="00E47B30" w:rsidR="006004EC" w:rsidTr="00E708F1" w14:paraId="7BD08B3D" w14:textId="77777777">
        <w:trPr>
          <w:cantSplit/>
        </w:trPr>
        <w:tc>
          <w:tcPr>
            <w:tcW w:w="5000" w:type="pct"/>
            <w:tcBorders>
              <w:bottom w:val="single" w:color="auto" w:sz="4" w:space="0"/>
            </w:tcBorders>
            <w:shd w:val="clear" w:color="auto" w:fill="auto"/>
          </w:tcPr>
          <w:p w:rsidRPr="00E47B30" w:rsidR="006004EC" w:rsidP="0097006F" w:rsidRDefault="006004EC" w14:paraId="56B3665A" w14:textId="776C627A">
            <w:pPr>
              <w:pStyle w:val="BodyText"/>
              <w:spacing w:after="120"/>
              <w:rPr>
                <w:b/>
              </w:rPr>
            </w:pPr>
            <w:r w:rsidRPr="00E47B30">
              <w:rPr>
                <w:b/>
              </w:rPr>
              <w:t>NYSE/Nasdaq Requirements</w:t>
            </w:r>
          </w:p>
          <w:p w:rsidRPr="00E47B30" w:rsidR="006004EC" w:rsidP="0097006F" w:rsidRDefault="006004EC" w14:paraId="3B6A65CF" w14:textId="4ABD4C27">
            <w:pPr>
              <w:pStyle w:val="BodyText"/>
              <w:spacing w:after="120"/>
            </w:pPr>
            <w:r w:rsidRPr="00E47B30">
              <w:t>Note that under certain circumstances, stock exchange requirements that listed companies disclose certain information in their proxy statement (or annual report, if the company did not file a proxy statement) may be satisfied by posting the information on the company</w:t>
            </w:r>
            <w:r w:rsidR="00113572">
              <w:t>’</w:t>
            </w:r>
            <w:r w:rsidRPr="00E47B30">
              <w:t>s website. If a listed company chooses to make these disclosures solely on or through its website, it must so state in its proxy statement (or annual report, if it does not file a proxy statement) and provide the website address. Accordingly, review of a listed company</w:t>
            </w:r>
            <w:r w:rsidR="00113572">
              <w:t>’</w:t>
            </w:r>
            <w:r w:rsidRPr="00E47B30">
              <w:t>s proxy statement should be coordinated with review of materials posted on its website to ensure compliance with applicable stock exchange listing standards.</w:t>
            </w:r>
          </w:p>
        </w:tc>
      </w:tr>
    </w:tbl>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bottom w:w="115" w:type="dxa"/>
        </w:tblCellMar>
        <w:tblLook w:val="0000" w:firstRow="0" w:lastRow="0" w:firstColumn="0" w:lastColumn="0" w:noHBand="0" w:noVBand="0"/>
      </w:tblPr>
      <w:tblGrid>
        <w:gridCol w:w="1986"/>
        <w:gridCol w:w="1505"/>
        <w:gridCol w:w="5615"/>
        <w:gridCol w:w="2679"/>
        <w:gridCol w:w="1615"/>
        <w:gridCol w:w="990"/>
      </w:tblGrid>
      <w:tr w:rsidRPr="00E47B30" w:rsidR="009206EE" w:rsidTr="00E708F1" w14:paraId="62AA5381" w14:textId="77777777">
        <w:trPr>
          <w:cantSplit/>
          <w:tblHeader/>
          <w:jc w:val="center"/>
        </w:trPr>
        <w:tc>
          <w:tcPr>
            <w:tcW w:w="690" w:type="pct"/>
            <w:tcBorders>
              <w:bottom w:val="single" w:color="auto" w:sz="18" w:space="0"/>
            </w:tcBorders>
            <w:shd w:val="clear" w:color="auto" w:fill="BFBFBF"/>
            <w:vAlign w:val="center"/>
          </w:tcPr>
          <w:bookmarkStart w:name="_Hlt92463827" w:id="10"/>
          <w:p w:rsidRPr="00E47B30" w:rsidR="00F77954" w:rsidP="0034516C" w:rsidRDefault="00A17B56" w14:paraId="7C2DFF59" w14:textId="18870C33">
            <w:pPr>
              <w:jc w:val="center"/>
              <w:rPr>
                <w:b/>
                <w:bCs/>
                <w:szCs w:val="22"/>
              </w:rPr>
            </w:pPr>
            <w:r>
              <w:rPr>
                <w:b/>
                <w:bCs/>
              </w:rPr>
              <w:lastRenderedPageBreak/>
              <w:fldChar w:fldCharType="begin"/>
            </w:r>
            <w:r>
              <w:rPr>
                <w:b/>
                <w:bCs/>
              </w:rPr>
              <w:instrText xml:space="preserve"> HYPERLINK "https://www.ecfr.gov/current/title-17/chapter-II/part-240/section-240.14a-101" </w:instrText>
            </w:r>
            <w:r>
              <w:rPr>
                <w:b/>
                <w:bCs/>
              </w:rPr>
              <w:fldChar w:fldCharType="separate"/>
            </w:r>
            <w:r w:rsidRPr="00A17B56">
              <w:rPr>
                <w:rStyle w:val="Hyperlink"/>
                <w:b/>
                <w:bCs/>
              </w:rPr>
              <w:t>Schedule 14A</w:t>
            </w:r>
            <w:r>
              <w:rPr>
                <w:b/>
                <w:bCs/>
              </w:rPr>
              <w:fldChar w:fldCharType="end"/>
            </w:r>
            <w:r>
              <w:rPr>
                <w:b/>
                <w:bCs/>
              </w:rPr>
              <w:t xml:space="preserve"> (</w:t>
            </w:r>
            <w:r w:rsidRPr="00E47B30" w:rsidR="00713E62">
              <w:rPr>
                <w:b/>
                <w:bCs/>
                <w:szCs w:val="22"/>
              </w:rPr>
              <w:t>Proxy Statement</w:t>
            </w:r>
            <w:r>
              <w:rPr>
                <w:b/>
                <w:bCs/>
                <w:szCs w:val="22"/>
              </w:rPr>
              <w:t>)</w:t>
            </w:r>
            <w:r w:rsidRPr="00E47B30" w:rsidR="00713E62">
              <w:rPr>
                <w:b/>
                <w:bCs/>
                <w:szCs w:val="22"/>
              </w:rPr>
              <w:t xml:space="preserve"> </w:t>
            </w:r>
            <w:r w:rsidRPr="00E47B30" w:rsidR="008712C3">
              <w:rPr>
                <w:b/>
                <w:bCs/>
                <w:szCs w:val="22"/>
              </w:rPr>
              <w:t>Section</w:t>
            </w:r>
          </w:p>
        </w:tc>
        <w:tc>
          <w:tcPr>
            <w:tcW w:w="523" w:type="pct"/>
            <w:tcBorders>
              <w:bottom w:val="single" w:color="auto" w:sz="18" w:space="0"/>
            </w:tcBorders>
            <w:shd w:val="clear" w:color="auto" w:fill="BFBFBF"/>
            <w:vAlign w:val="center"/>
          </w:tcPr>
          <w:p w:rsidRPr="00454E86" w:rsidR="00F77954" w:rsidP="007A1798" w:rsidRDefault="00454E86" w14:paraId="0BA9E5AF" w14:textId="6E6C5021">
            <w:pPr>
              <w:spacing w:after="0"/>
              <w:jc w:val="center"/>
              <w:rPr>
                <w:b/>
                <w:bCs/>
                <w:sz w:val="20"/>
              </w:rPr>
            </w:pPr>
            <w:r w:rsidRPr="00454E86">
              <w:rPr>
                <w:b/>
                <w:bCs/>
                <w:sz w:val="20"/>
              </w:rPr>
              <w:t>Schedule 14A</w:t>
            </w:r>
            <w:r>
              <w:rPr>
                <w:b/>
                <w:bCs/>
                <w:sz w:val="20"/>
              </w:rPr>
              <w:t xml:space="preserve"> or </w:t>
            </w:r>
            <w:r w:rsidRPr="00454E86">
              <w:rPr>
                <w:b/>
                <w:bCs/>
                <w:sz w:val="20"/>
              </w:rPr>
              <w:t>Regulation S-K or Other R</w:t>
            </w:r>
            <w:r w:rsidRPr="00454E86" w:rsidR="00713E62">
              <w:rPr>
                <w:b/>
                <w:bCs/>
                <w:sz w:val="20"/>
              </w:rPr>
              <w:t>eference</w:t>
            </w:r>
          </w:p>
        </w:tc>
        <w:tc>
          <w:tcPr>
            <w:tcW w:w="1951" w:type="pct"/>
            <w:tcBorders>
              <w:bottom w:val="single" w:color="auto" w:sz="18" w:space="0"/>
            </w:tcBorders>
            <w:shd w:val="clear" w:color="auto" w:fill="BFBFBF"/>
            <w:vAlign w:val="center"/>
          </w:tcPr>
          <w:p w:rsidRPr="00E47B30" w:rsidR="00F77954" w:rsidP="007E0B55" w:rsidRDefault="00713E62" w14:paraId="0FDD10DE" w14:textId="79BB4568">
            <w:pPr>
              <w:spacing w:after="240"/>
              <w:jc w:val="center"/>
              <w:rPr>
                <w:b/>
                <w:bCs/>
                <w:szCs w:val="22"/>
              </w:rPr>
            </w:pPr>
            <w:r w:rsidRPr="00E47B30">
              <w:rPr>
                <w:b/>
                <w:bCs/>
                <w:szCs w:val="22"/>
              </w:rPr>
              <w:t>Summar</w:t>
            </w:r>
            <w:r w:rsidRPr="00E47B30" w:rsidR="008712C3">
              <w:rPr>
                <w:b/>
                <w:bCs/>
                <w:szCs w:val="22"/>
              </w:rPr>
              <w:t>y</w:t>
            </w:r>
            <w:r w:rsidRPr="00E47B30">
              <w:rPr>
                <w:b/>
                <w:bCs/>
                <w:szCs w:val="22"/>
              </w:rPr>
              <w:t xml:space="preserve"> </w:t>
            </w:r>
            <w:r w:rsidRPr="00E47B30" w:rsidR="008712C3">
              <w:rPr>
                <w:b/>
                <w:bCs/>
                <w:szCs w:val="22"/>
              </w:rPr>
              <w:t>of</w:t>
            </w:r>
            <w:r w:rsidRPr="00E47B30">
              <w:rPr>
                <w:b/>
                <w:bCs/>
                <w:szCs w:val="22"/>
              </w:rPr>
              <w:t xml:space="preserve"> </w:t>
            </w:r>
            <w:r w:rsidRPr="00E47B30" w:rsidR="008712C3">
              <w:rPr>
                <w:b/>
                <w:bCs/>
                <w:szCs w:val="22"/>
              </w:rPr>
              <w:t>Requirement</w:t>
            </w:r>
          </w:p>
        </w:tc>
        <w:tc>
          <w:tcPr>
            <w:tcW w:w="931" w:type="pct"/>
            <w:tcBorders>
              <w:bottom w:val="single" w:color="auto" w:sz="18" w:space="0"/>
            </w:tcBorders>
            <w:shd w:val="clear" w:color="auto" w:fill="BFBFBF"/>
            <w:vAlign w:val="center"/>
          </w:tcPr>
          <w:p w:rsidRPr="00414307" w:rsidR="00F77954" w:rsidP="007E0B55" w:rsidRDefault="00713E62" w14:paraId="2EDCC128" w14:textId="77777777">
            <w:pPr>
              <w:spacing w:after="240"/>
              <w:jc w:val="center"/>
              <w:rPr>
                <w:b/>
                <w:bCs/>
                <w:szCs w:val="22"/>
              </w:rPr>
            </w:pPr>
            <w:r w:rsidRPr="00414307">
              <w:rPr>
                <w:b/>
                <w:bCs/>
                <w:szCs w:val="22"/>
              </w:rPr>
              <w:t>Relevant guidance</w:t>
            </w:r>
          </w:p>
        </w:tc>
        <w:tc>
          <w:tcPr>
            <w:tcW w:w="561" w:type="pct"/>
            <w:tcBorders>
              <w:bottom w:val="single" w:color="auto" w:sz="18" w:space="0"/>
            </w:tcBorders>
            <w:shd w:val="clear" w:color="auto" w:fill="BFBFBF"/>
            <w:vAlign w:val="center"/>
          </w:tcPr>
          <w:p w:rsidRPr="007E0B55" w:rsidR="00F77954" w:rsidP="007E0B55" w:rsidRDefault="00713E62" w14:paraId="65EAF152" w14:textId="5548F5EB">
            <w:pPr>
              <w:spacing w:after="240"/>
              <w:contextualSpacing/>
              <w:jc w:val="center"/>
              <w:rPr>
                <w:b/>
                <w:bCs/>
                <w:sz w:val="20"/>
              </w:rPr>
            </w:pPr>
            <w:r w:rsidRPr="007E0B55">
              <w:rPr>
                <w:b/>
                <w:bCs/>
                <w:sz w:val="20"/>
              </w:rPr>
              <w:t>R</w:t>
            </w:r>
            <w:r w:rsidRPr="007E0B55" w:rsidR="008712C3">
              <w:rPr>
                <w:b/>
                <w:bCs/>
                <w:sz w:val="20"/>
              </w:rPr>
              <w:t>eviewer</w:t>
            </w:r>
            <w:r w:rsidRPr="007E0B55">
              <w:rPr>
                <w:b/>
                <w:bCs/>
                <w:sz w:val="20"/>
              </w:rPr>
              <w:t xml:space="preserve"> N</w:t>
            </w:r>
            <w:r w:rsidRPr="007E0B55" w:rsidR="008712C3">
              <w:rPr>
                <w:b/>
                <w:bCs/>
                <w:sz w:val="20"/>
              </w:rPr>
              <w:t>otes</w:t>
            </w:r>
            <w:r w:rsidRPr="007E0B55">
              <w:rPr>
                <w:b/>
                <w:bCs/>
                <w:sz w:val="20"/>
              </w:rPr>
              <w:t xml:space="preserve"> </w:t>
            </w:r>
            <w:r w:rsidRPr="007E0B55" w:rsidR="008712C3">
              <w:rPr>
                <w:b/>
                <w:bCs/>
                <w:sz w:val="20"/>
              </w:rPr>
              <w:t>and</w:t>
            </w:r>
            <w:r w:rsidRPr="007E0B55">
              <w:rPr>
                <w:b/>
                <w:bCs/>
                <w:sz w:val="20"/>
              </w:rPr>
              <w:t xml:space="preserve"> C</w:t>
            </w:r>
            <w:r w:rsidRPr="007E0B55" w:rsidR="008712C3">
              <w:rPr>
                <w:b/>
                <w:bCs/>
                <w:sz w:val="20"/>
              </w:rPr>
              <w:t>omments</w:t>
            </w:r>
          </w:p>
        </w:tc>
        <w:tc>
          <w:tcPr>
            <w:tcW w:w="344" w:type="pct"/>
            <w:tcBorders>
              <w:bottom w:val="single" w:color="auto" w:sz="18" w:space="0"/>
            </w:tcBorders>
            <w:shd w:val="clear" w:color="auto" w:fill="BFBFBF"/>
            <w:vAlign w:val="center"/>
          </w:tcPr>
          <w:p w:rsidRPr="00E47B30" w:rsidR="00F77954" w:rsidP="0034516C" w:rsidRDefault="00713E62" w14:paraId="0138D62C" w14:textId="10DA6421">
            <w:pPr>
              <w:spacing w:after="0"/>
              <w:jc w:val="center"/>
              <w:rPr>
                <w:b/>
                <w:bCs/>
                <w:sz w:val="16"/>
                <w:szCs w:val="16"/>
              </w:rPr>
            </w:pPr>
            <w:r w:rsidRPr="00E47B30">
              <w:rPr>
                <w:b/>
                <w:bCs/>
                <w:sz w:val="16"/>
                <w:szCs w:val="16"/>
              </w:rPr>
              <w:t>Review Status</w:t>
            </w:r>
            <w:r w:rsidR="00081BB3">
              <w:rPr>
                <w:b/>
                <w:bCs/>
                <w:sz w:val="16"/>
                <w:szCs w:val="16"/>
              </w:rPr>
              <w:t xml:space="preserve">:  </w:t>
            </w:r>
            <w:r w:rsidRPr="00E47B30">
              <w:rPr>
                <w:b/>
                <w:bCs/>
                <w:sz w:val="16"/>
                <w:szCs w:val="16"/>
              </w:rPr>
              <w:t>Complies?</w:t>
            </w:r>
          </w:p>
          <w:p w:rsidRPr="00E47B30" w:rsidR="00F77954" w:rsidP="0034516C" w:rsidRDefault="00713E62" w14:paraId="7C7D015D" w14:textId="77777777">
            <w:pPr>
              <w:spacing w:after="0"/>
              <w:jc w:val="center"/>
              <w:rPr>
                <w:b/>
                <w:bCs/>
                <w:sz w:val="16"/>
                <w:szCs w:val="16"/>
              </w:rPr>
            </w:pPr>
            <w:r w:rsidRPr="00E47B30">
              <w:rPr>
                <w:b/>
                <w:bCs/>
                <w:sz w:val="16"/>
                <w:szCs w:val="16"/>
              </w:rPr>
              <w:t>Yes/No</w:t>
            </w:r>
          </w:p>
        </w:tc>
      </w:tr>
      <w:bookmarkEnd w:id="10"/>
      <w:tr w:rsidRPr="00E47B30" w:rsidR="000211E5" w:rsidTr="00E708F1" w14:paraId="780DE6C2" w14:textId="77777777">
        <w:trPr>
          <w:cantSplit/>
          <w:jc w:val="center"/>
        </w:trPr>
        <w:tc>
          <w:tcPr>
            <w:tcW w:w="690" w:type="pct"/>
            <w:tcBorders>
              <w:top w:val="single" w:color="auto" w:sz="18" w:space="0"/>
            </w:tcBorders>
          </w:tcPr>
          <w:p w:rsidRPr="009028B6" w:rsidR="00E54848" w:rsidP="00021420" w:rsidRDefault="00E54848" w14:paraId="3B5277DF" w14:textId="4B4009D7">
            <w:pPr>
              <w:pStyle w:val="BodyText"/>
              <w:tabs>
                <w:tab w:val="left" w:pos="1680"/>
              </w:tabs>
              <w:spacing w:after="120"/>
              <w:rPr>
                <w:sz w:val="21"/>
                <w:szCs w:val="21"/>
              </w:rPr>
            </w:pPr>
            <w:r w:rsidRPr="009028B6">
              <w:rPr>
                <w:sz w:val="21"/>
                <w:szCs w:val="21"/>
              </w:rPr>
              <w:t>Cover page</w:t>
            </w:r>
          </w:p>
        </w:tc>
        <w:tc>
          <w:tcPr>
            <w:tcW w:w="523" w:type="pct"/>
            <w:tcBorders>
              <w:top w:val="single" w:color="auto" w:sz="18" w:space="0"/>
            </w:tcBorders>
          </w:tcPr>
          <w:p w:rsidR="00454E86" w:rsidP="00021420" w:rsidRDefault="000D00E3" w14:paraId="6E24F6C1" w14:textId="04FBB580">
            <w:pPr>
              <w:pStyle w:val="BodyText"/>
              <w:spacing w:after="120"/>
              <w:jc w:val="center"/>
            </w:pPr>
            <w:hyperlink w:history="1" r:id="rId21">
              <w:r w:rsidRPr="00454E86" w:rsidR="00454E86">
                <w:rPr>
                  <w:rStyle w:val="Hyperlink"/>
                </w:rPr>
                <w:t>Schedule 14A</w:t>
              </w:r>
            </w:hyperlink>
          </w:p>
          <w:p w:rsidRPr="00E47B30" w:rsidR="00E54848" w:rsidP="00021420" w:rsidRDefault="000D00E3" w14:paraId="15785959" w14:textId="73F08B82">
            <w:pPr>
              <w:pStyle w:val="BodyText"/>
              <w:spacing w:after="120"/>
              <w:jc w:val="center"/>
            </w:pPr>
            <w:hyperlink w:history="1" w:anchor="p-240.14a-6(a)" r:id="rId22">
              <w:r w:rsidRPr="00E47B30" w:rsidR="00E54848">
                <w:rPr>
                  <w:rStyle w:val="Hyperlink"/>
                </w:rPr>
                <w:t xml:space="preserve">Rule </w:t>
              </w:r>
              <w:proofErr w:type="spellStart"/>
              <w:r w:rsidRPr="00E47B30" w:rsidR="00E54848">
                <w:rPr>
                  <w:rStyle w:val="Hyperlink"/>
                </w:rPr>
                <w:t>14a</w:t>
              </w:r>
              <w:proofErr w:type="spellEnd"/>
              <w:r w:rsidRPr="00E47B30" w:rsidR="00E54848">
                <w:rPr>
                  <w:rStyle w:val="Hyperlink"/>
                </w:rPr>
                <w:t>-6(a)</w:t>
              </w:r>
            </w:hyperlink>
          </w:p>
          <w:p w:rsidRPr="00E47B30" w:rsidR="00E54848" w:rsidP="00021420" w:rsidRDefault="000D00E3" w14:paraId="45086494" w14:textId="19978ED0">
            <w:pPr>
              <w:pStyle w:val="BodyText"/>
              <w:spacing w:after="120"/>
              <w:jc w:val="center"/>
              <w:rPr>
                <w:b/>
                <w:bCs/>
                <w:i/>
                <w:iCs/>
              </w:rPr>
            </w:pPr>
            <w:hyperlink w:history="1" w:anchor="p-240.14a-6(i)" r:id="rId23">
              <w:r w:rsidRPr="00E47B30" w:rsidR="00E54848">
                <w:rPr>
                  <w:rStyle w:val="Hyperlink"/>
                </w:rPr>
                <w:t xml:space="preserve">Rule </w:t>
              </w:r>
              <w:proofErr w:type="spellStart"/>
              <w:r w:rsidRPr="00E47B30" w:rsidR="00E54848">
                <w:rPr>
                  <w:rStyle w:val="Hyperlink"/>
                </w:rPr>
                <w:t>14a</w:t>
              </w:r>
              <w:proofErr w:type="spellEnd"/>
              <w:r w:rsidRPr="00E47B30" w:rsidR="00E54848">
                <w:rPr>
                  <w:rStyle w:val="Hyperlink"/>
                </w:rPr>
                <w:t>-6(</w:t>
              </w:r>
              <w:proofErr w:type="spellStart"/>
              <w:r w:rsidRPr="00E47B30" w:rsidR="00E54848">
                <w:rPr>
                  <w:rStyle w:val="Hyperlink"/>
                </w:rPr>
                <w:t>i</w:t>
              </w:r>
              <w:proofErr w:type="spellEnd"/>
              <w:r w:rsidRPr="00E47B30" w:rsidR="00E54848">
                <w:rPr>
                  <w:rStyle w:val="Hyperlink"/>
                </w:rPr>
                <w:t>)</w:t>
              </w:r>
            </w:hyperlink>
          </w:p>
        </w:tc>
        <w:tc>
          <w:tcPr>
            <w:tcW w:w="1951" w:type="pct"/>
            <w:tcBorders>
              <w:top w:val="single" w:color="auto" w:sz="18" w:space="0"/>
            </w:tcBorders>
          </w:tcPr>
          <w:p w:rsidRPr="00E47B30" w:rsidR="00E54848" w:rsidP="007E0B55" w:rsidRDefault="00E54848" w14:paraId="2A04A9FC" w14:textId="121B291C">
            <w:pPr>
              <w:pStyle w:val="BodyText"/>
              <w:rPr>
                <w:color w:val="FF0000"/>
              </w:rPr>
            </w:pPr>
          </w:p>
        </w:tc>
        <w:tc>
          <w:tcPr>
            <w:tcW w:w="931" w:type="pct"/>
            <w:tcBorders>
              <w:top w:val="single" w:color="auto" w:sz="18" w:space="0"/>
            </w:tcBorders>
          </w:tcPr>
          <w:p w:rsidRPr="00414307" w:rsidR="00E54848" w:rsidP="007E0B55" w:rsidRDefault="00E54848" w14:paraId="0FF9ED69" w14:textId="77777777">
            <w:pPr>
              <w:pStyle w:val="BodyText"/>
            </w:pPr>
          </w:p>
        </w:tc>
        <w:tc>
          <w:tcPr>
            <w:tcW w:w="561" w:type="pct"/>
            <w:tcBorders>
              <w:top w:val="single" w:color="auto" w:sz="18" w:space="0"/>
            </w:tcBorders>
          </w:tcPr>
          <w:p w:rsidRPr="007E0B55" w:rsidR="00E54848" w:rsidP="007E0B55" w:rsidRDefault="00E54848" w14:paraId="021585DA" w14:textId="77777777">
            <w:pPr>
              <w:pStyle w:val="BodyText"/>
              <w:contextualSpacing/>
              <w:rPr>
                <w:sz w:val="20"/>
              </w:rPr>
            </w:pPr>
          </w:p>
        </w:tc>
        <w:tc>
          <w:tcPr>
            <w:tcW w:w="344" w:type="pct"/>
            <w:tcBorders>
              <w:top w:val="single" w:color="auto" w:sz="18" w:space="0"/>
            </w:tcBorders>
            <w:vAlign w:val="center"/>
          </w:tcPr>
          <w:p w:rsidRPr="00E47B30" w:rsidR="00E54848" w:rsidP="0034516C" w:rsidRDefault="00E54848" w14:paraId="3E121880"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E54848" w:rsidP="0034516C" w:rsidRDefault="00E54848" w14:paraId="0EBCB239" w14:textId="5742A9C9">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211E5" w:rsidTr="00E708F1" w14:paraId="2720C206" w14:textId="77777777">
        <w:trPr>
          <w:cantSplit/>
          <w:jc w:val="center"/>
        </w:trPr>
        <w:tc>
          <w:tcPr>
            <w:tcW w:w="690" w:type="pct"/>
          </w:tcPr>
          <w:p w:rsidRPr="009028B6" w:rsidR="00E54848" w:rsidP="00021420" w:rsidRDefault="00E54848" w14:paraId="701FC467" w14:textId="77777777">
            <w:pPr>
              <w:pStyle w:val="BodyText"/>
              <w:spacing w:after="120"/>
              <w:rPr>
                <w:sz w:val="21"/>
                <w:szCs w:val="21"/>
              </w:rPr>
            </w:pPr>
            <w:r w:rsidRPr="009028B6">
              <w:rPr>
                <w:sz w:val="21"/>
                <w:szCs w:val="21"/>
              </w:rPr>
              <w:t xml:space="preserve">Schedule 14A Information </w:t>
            </w:r>
          </w:p>
          <w:p w:rsidRPr="009028B6" w:rsidR="00E54848" w:rsidP="00021420" w:rsidRDefault="00E54848" w14:paraId="0DBE9490" w14:textId="77777777">
            <w:pPr>
              <w:pStyle w:val="BodyText"/>
              <w:spacing w:after="120"/>
              <w:rPr>
                <w:sz w:val="21"/>
                <w:szCs w:val="21"/>
              </w:rPr>
            </w:pPr>
            <w:r w:rsidRPr="009028B6">
              <w:rPr>
                <w:sz w:val="21"/>
                <w:szCs w:val="21"/>
              </w:rPr>
              <w:t xml:space="preserve">Proxy Statement Pursuant to Section 14(a) of the Securities Exchange Act of 1934 </w:t>
            </w:r>
          </w:p>
          <w:p w:rsidRPr="009028B6" w:rsidR="00E54848" w:rsidP="00021420" w:rsidRDefault="00E54848" w14:paraId="1C4A02AF" w14:textId="72C66913">
            <w:pPr>
              <w:pStyle w:val="BodyText"/>
              <w:spacing w:after="120"/>
              <w:rPr>
                <w:sz w:val="21"/>
                <w:szCs w:val="21"/>
              </w:rPr>
            </w:pPr>
            <w:r w:rsidRPr="009028B6">
              <w:rPr>
                <w:sz w:val="21"/>
                <w:szCs w:val="21"/>
              </w:rPr>
              <w:t xml:space="preserve">(Amendment No. </w:t>
            </w:r>
            <w:r w:rsidRPr="009028B6" w:rsidR="0034516C">
              <w:rPr>
                <w:sz w:val="21"/>
                <w:szCs w:val="21"/>
              </w:rPr>
              <w:t>___</w:t>
            </w:r>
            <w:r w:rsidRPr="009028B6">
              <w:rPr>
                <w:sz w:val="21"/>
                <w:szCs w:val="21"/>
              </w:rPr>
              <w:t>)</w:t>
            </w:r>
          </w:p>
        </w:tc>
        <w:tc>
          <w:tcPr>
            <w:tcW w:w="523" w:type="pct"/>
          </w:tcPr>
          <w:p w:rsidRPr="00E47B30" w:rsidR="00E54848" w:rsidP="00021420" w:rsidRDefault="00E54848" w14:paraId="5E55ACAB" w14:textId="77777777">
            <w:pPr>
              <w:pStyle w:val="BodyText"/>
              <w:spacing w:after="120"/>
              <w:jc w:val="center"/>
            </w:pPr>
          </w:p>
        </w:tc>
        <w:tc>
          <w:tcPr>
            <w:tcW w:w="1951" w:type="pct"/>
          </w:tcPr>
          <w:p w:rsidRPr="004F1A33" w:rsidR="00E54848" w:rsidP="007E0B55" w:rsidRDefault="0034516C" w14:paraId="17CE05B3" w14:textId="757C0821">
            <w:pPr>
              <w:pStyle w:val="BodyText"/>
              <w:rPr>
                <w:i/>
                <w:iCs/>
              </w:rPr>
            </w:pPr>
            <w:r w:rsidRPr="004F1A33">
              <w:rPr>
                <w:i/>
                <w:iCs/>
              </w:rPr>
              <w:t>If the filing is an amendment, confirm the amendment number is correct.</w:t>
            </w:r>
          </w:p>
        </w:tc>
        <w:tc>
          <w:tcPr>
            <w:tcW w:w="931" w:type="pct"/>
          </w:tcPr>
          <w:p w:rsidRPr="00414307" w:rsidR="00E54848" w:rsidP="007E0B55" w:rsidRDefault="00E54848" w14:paraId="55BD54E1" w14:textId="77777777">
            <w:pPr>
              <w:pStyle w:val="BodyText"/>
            </w:pPr>
          </w:p>
        </w:tc>
        <w:tc>
          <w:tcPr>
            <w:tcW w:w="561" w:type="pct"/>
          </w:tcPr>
          <w:p w:rsidRPr="007E0B55" w:rsidR="00E54848" w:rsidP="007E0B55" w:rsidRDefault="00E54848" w14:paraId="5B6E260F" w14:textId="77777777">
            <w:pPr>
              <w:pStyle w:val="BodyText"/>
              <w:contextualSpacing/>
              <w:rPr>
                <w:sz w:val="20"/>
              </w:rPr>
            </w:pPr>
          </w:p>
        </w:tc>
        <w:tc>
          <w:tcPr>
            <w:tcW w:w="344" w:type="pct"/>
            <w:vAlign w:val="center"/>
          </w:tcPr>
          <w:p w:rsidRPr="00E47B30" w:rsidR="00E54848" w:rsidP="0034516C" w:rsidRDefault="00E54848" w14:paraId="33786235"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E54848" w:rsidP="0034516C" w:rsidRDefault="00E54848" w14:paraId="2BB703FD" w14:textId="2C5C4B18">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211E5" w:rsidTr="00E708F1" w14:paraId="6461CC9A" w14:textId="77777777">
        <w:trPr>
          <w:cantSplit/>
          <w:jc w:val="center"/>
        </w:trPr>
        <w:tc>
          <w:tcPr>
            <w:tcW w:w="690" w:type="pct"/>
          </w:tcPr>
          <w:p w:rsidRPr="009028B6" w:rsidR="00E54848" w:rsidP="00021420" w:rsidRDefault="00E54848" w14:paraId="2203D5C5" w14:textId="40B9F44A">
            <w:pPr>
              <w:pStyle w:val="BodyText"/>
              <w:spacing w:after="120"/>
              <w:rPr>
                <w:sz w:val="21"/>
                <w:szCs w:val="21"/>
              </w:rPr>
            </w:pPr>
            <w:r w:rsidRPr="009028B6">
              <w:rPr>
                <w:sz w:val="21"/>
                <w:szCs w:val="21"/>
              </w:rPr>
              <w:t xml:space="preserve">Filed by the Registrant </w:t>
            </w:r>
            <w:r w:rsidRPr="009028B6" w:rsidR="0034516C">
              <w:rPr>
                <w:rFonts w:ascii="Segoe UI Symbol" w:hAnsi="Segoe UI Symbol" w:eastAsia="MS Gothic" w:cs="Segoe UI Symbol"/>
                <w:sz w:val="21"/>
                <w:szCs w:val="21"/>
              </w:rPr>
              <w:t>☐</w:t>
            </w:r>
            <w:r w:rsidRPr="009028B6">
              <w:rPr>
                <w:sz w:val="21"/>
                <w:szCs w:val="21"/>
              </w:rPr>
              <w:t xml:space="preserve"> </w:t>
            </w:r>
          </w:p>
          <w:p w:rsidRPr="009028B6" w:rsidR="00E54848" w:rsidP="00021420" w:rsidRDefault="00E54848" w14:paraId="10EE7689" w14:textId="7CE4A62B">
            <w:pPr>
              <w:pStyle w:val="BodyText"/>
              <w:spacing w:after="120"/>
              <w:rPr>
                <w:sz w:val="21"/>
                <w:szCs w:val="21"/>
              </w:rPr>
            </w:pPr>
            <w:r w:rsidRPr="009028B6">
              <w:rPr>
                <w:sz w:val="21"/>
                <w:szCs w:val="21"/>
              </w:rPr>
              <w:t xml:space="preserve">Filed by a party other than the Registrant </w:t>
            </w:r>
            <w:r w:rsidR="00454E86">
              <w:rPr>
                <w:sz w:val="21"/>
                <w:szCs w:val="21"/>
              </w:rPr>
              <w:t> </w:t>
            </w:r>
            <w:r w:rsidRPr="009028B6" w:rsidR="0034516C">
              <w:rPr>
                <w:rFonts w:ascii="Segoe UI Symbol" w:hAnsi="Segoe UI Symbol" w:eastAsia="MS Gothic" w:cs="Segoe UI Symbol"/>
                <w:sz w:val="21"/>
                <w:szCs w:val="21"/>
              </w:rPr>
              <w:t>☐</w:t>
            </w:r>
          </w:p>
        </w:tc>
        <w:tc>
          <w:tcPr>
            <w:tcW w:w="523" w:type="pct"/>
          </w:tcPr>
          <w:p w:rsidRPr="00E47B30" w:rsidR="00E54848" w:rsidP="00021420" w:rsidRDefault="00E54848" w14:paraId="27461DE5" w14:textId="77777777">
            <w:pPr>
              <w:pStyle w:val="BodyText"/>
              <w:spacing w:after="120"/>
              <w:jc w:val="center"/>
            </w:pPr>
          </w:p>
        </w:tc>
        <w:tc>
          <w:tcPr>
            <w:tcW w:w="1951" w:type="pct"/>
          </w:tcPr>
          <w:p w:rsidRPr="004F1A33" w:rsidR="00E54848" w:rsidP="007E0B55" w:rsidRDefault="0034516C" w14:paraId="47F58F8A" w14:textId="60E68E06">
            <w:pPr>
              <w:pStyle w:val="BodyText"/>
              <w:rPr>
                <w:i/>
                <w:iCs/>
              </w:rPr>
            </w:pPr>
            <w:r w:rsidRPr="004F1A33">
              <w:rPr>
                <w:i/>
                <w:iCs/>
              </w:rPr>
              <w:t>Confirm</w:t>
            </w:r>
            <w:r w:rsidRPr="004F1A33" w:rsidR="003C3541">
              <w:rPr>
                <w:i/>
                <w:iCs/>
              </w:rPr>
              <w:t xml:space="preserve"> that the</w:t>
            </w:r>
            <w:r w:rsidRPr="004F1A33">
              <w:rPr>
                <w:i/>
                <w:iCs/>
              </w:rPr>
              <w:t xml:space="preserve"> correct box has been checked</w:t>
            </w:r>
            <w:r w:rsidRPr="004F1A33" w:rsidR="003C3541">
              <w:rPr>
                <w:i/>
                <w:iCs/>
              </w:rPr>
              <w:t>.</w:t>
            </w:r>
          </w:p>
        </w:tc>
        <w:tc>
          <w:tcPr>
            <w:tcW w:w="931" w:type="pct"/>
          </w:tcPr>
          <w:p w:rsidRPr="00414307" w:rsidR="00E54848" w:rsidP="007E0B55" w:rsidRDefault="00E54848" w14:paraId="32908790" w14:textId="77777777">
            <w:pPr>
              <w:pStyle w:val="BodyText"/>
            </w:pPr>
          </w:p>
        </w:tc>
        <w:tc>
          <w:tcPr>
            <w:tcW w:w="561" w:type="pct"/>
          </w:tcPr>
          <w:p w:rsidRPr="007E0B55" w:rsidR="00E54848" w:rsidP="007E0B55" w:rsidRDefault="00E54848" w14:paraId="6DAD5E66" w14:textId="77777777">
            <w:pPr>
              <w:pStyle w:val="BodyText"/>
              <w:contextualSpacing/>
              <w:rPr>
                <w:sz w:val="20"/>
              </w:rPr>
            </w:pPr>
          </w:p>
        </w:tc>
        <w:tc>
          <w:tcPr>
            <w:tcW w:w="344" w:type="pct"/>
            <w:vAlign w:val="center"/>
          </w:tcPr>
          <w:p w:rsidRPr="00E47B30" w:rsidR="00E54848" w:rsidP="0034516C" w:rsidRDefault="00E54848" w14:paraId="6BB9A844"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E54848" w:rsidP="0034516C" w:rsidRDefault="00E54848" w14:paraId="2F0B6D03" w14:textId="4C791CA8">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211E5" w:rsidTr="00E708F1" w14:paraId="5FA6C3FE" w14:textId="77777777">
        <w:trPr>
          <w:cantSplit/>
          <w:jc w:val="center"/>
        </w:trPr>
        <w:tc>
          <w:tcPr>
            <w:tcW w:w="690" w:type="pct"/>
          </w:tcPr>
          <w:p w:rsidRPr="009028B6" w:rsidR="00E54848" w:rsidP="00021420" w:rsidRDefault="00E54848" w14:paraId="2665FD3D" w14:textId="58D574EF">
            <w:pPr>
              <w:pStyle w:val="BodyText"/>
              <w:spacing w:after="120"/>
              <w:rPr>
                <w:sz w:val="21"/>
                <w:szCs w:val="21"/>
              </w:rPr>
            </w:pPr>
            <w:r w:rsidRPr="009028B6">
              <w:rPr>
                <w:sz w:val="21"/>
                <w:szCs w:val="21"/>
              </w:rPr>
              <w:lastRenderedPageBreak/>
              <w:t>Check the appropriate box</w:t>
            </w:r>
            <w:r w:rsidR="00081BB3">
              <w:rPr>
                <w:sz w:val="21"/>
                <w:szCs w:val="21"/>
              </w:rPr>
              <w:t xml:space="preserve">:  </w:t>
            </w:r>
          </w:p>
          <w:p w:rsidRPr="009028B6" w:rsidR="00E54848" w:rsidP="00021420" w:rsidRDefault="0034516C" w14:paraId="6A054365" w14:textId="089ECD13">
            <w:pPr>
              <w:pStyle w:val="BodyText"/>
              <w:spacing w:after="120"/>
              <w:rPr>
                <w:sz w:val="21"/>
                <w:szCs w:val="21"/>
              </w:rPr>
            </w:pPr>
            <w:r w:rsidRPr="009028B6">
              <w:rPr>
                <w:rFonts w:ascii="Segoe UI Symbol" w:hAnsi="Segoe UI Symbol" w:eastAsia="MS Gothic" w:cs="Segoe UI Symbol"/>
                <w:sz w:val="21"/>
                <w:szCs w:val="21"/>
              </w:rPr>
              <w:t xml:space="preserve">☐  </w:t>
            </w:r>
            <w:r w:rsidRPr="009028B6" w:rsidR="00E54848">
              <w:rPr>
                <w:sz w:val="21"/>
                <w:szCs w:val="21"/>
              </w:rPr>
              <w:t xml:space="preserve">Preliminary Proxy Statement </w:t>
            </w:r>
          </w:p>
          <w:p w:rsidRPr="009028B6" w:rsidR="00E54848" w:rsidP="00021420" w:rsidRDefault="0034516C" w14:paraId="3C99740F" w14:textId="0CE2878D">
            <w:pPr>
              <w:pStyle w:val="BodyText"/>
              <w:spacing w:after="120"/>
              <w:rPr>
                <w:sz w:val="21"/>
                <w:szCs w:val="21"/>
              </w:rPr>
            </w:pPr>
            <w:r w:rsidRPr="009028B6">
              <w:rPr>
                <w:rFonts w:ascii="Segoe UI Symbol" w:hAnsi="Segoe UI Symbol" w:eastAsia="MS Gothic" w:cs="Segoe UI Symbol"/>
                <w:sz w:val="21"/>
                <w:szCs w:val="21"/>
              </w:rPr>
              <w:t xml:space="preserve">☐  </w:t>
            </w:r>
            <w:r w:rsidRPr="009028B6" w:rsidR="00E54848">
              <w:rPr>
                <w:sz w:val="21"/>
                <w:szCs w:val="21"/>
              </w:rPr>
              <w:t xml:space="preserve">Confidential, for Use of the Commission Only (as permitted by Rule </w:t>
            </w:r>
            <w:proofErr w:type="spellStart"/>
            <w:r w:rsidRPr="009028B6" w:rsidR="00E54848">
              <w:rPr>
                <w:sz w:val="21"/>
                <w:szCs w:val="21"/>
              </w:rPr>
              <w:t>14a</w:t>
            </w:r>
            <w:proofErr w:type="spellEnd"/>
            <w:r w:rsidRPr="009028B6" w:rsidR="00E54848">
              <w:rPr>
                <w:sz w:val="21"/>
                <w:szCs w:val="21"/>
              </w:rPr>
              <w:t xml:space="preserve">-6(e)(2)) </w:t>
            </w:r>
          </w:p>
          <w:p w:rsidRPr="009028B6" w:rsidR="00E54848" w:rsidP="00021420" w:rsidRDefault="0034516C" w14:paraId="150038DF" w14:textId="21272F28">
            <w:pPr>
              <w:pStyle w:val="BodyText"/>
              <w:spacing w:after="120"/>
              <w:rPr>
                <w:sz w:val="21"/>
                <w:szCs w:val="21"/>
              </w:rPr>
            </w:pPr>
            <w:r w:rsidRPr="009028B6">
              <w:rPr>
                <w:rFonts w:ascii="Segoe UI Symbol" w:hAnsi="Segoe UI Symbol" w:eastAsia="MS Gothic" w:cs="Segoe UI Symbol"/>
                <w:sz w:val="21"/>
                <w:szCs w:val="21"/>
              </w:rPr>
              <w:t xml:space="preserve">☐  </w:t>
            </w:r>
            <w:r w:rsidRPr="009028B6" w:rsidR="00E54848">
              <w:rPr>
                <w:sz w:val="21"/>
                <w:szCs w:val="21"/>
              </w:rPr>
              <w:t xml:space="preserve">Definitive Proxy Statement </w:t>
            </w:r>
          </w:p>
          <w:p w:rsidRPr="009028B6" w:rsidR="00E54848" w:rsidP="00021420" w:rsidRDefault="0034516C" w14:paraId="458D0068" w14:textId="1FF535B1">
            <w:pPr>
              <w:pStyle w:val="BodyText"/>
              <w:spacing w:after="120"/>
              <w:rPr>
                <w:sz w:val="21"/>
                <w:szCs w:val="21"/>
              </w:rPr>
            </w:pPr>
            <w:r w:rsidRPr="009028B6">
              <w:rPr>
                <w:rFonts w:ascii="Segoe UI Symbol" w:hAnsi="Segoe UI Symbol" w:eastAsia="MS Gothic" w:cs="Segoe UI Symbol"/>
                <w:sz w:val="21"/>
                <w:szCs w:val="21"/>
              </w:rPr>
              <w:t xml:space="preserve">☐  </w:t>
            </w:r>
            <w:r w:rsidRPr="009028B6" w:rsidR="00E54848">
              <w:rPr>
                <w:sz w:val="21"/>
                <w:szCs w:val="21"/>
              </w:rPr>
              <w:t xml:space="preserve">Definitive Additional Materials </w:t>
            </w:r>
          </w:p>
          <w:p w:rsidRPr="009028B6" w:rsidR="00E54848" w:rsidP="00021420" w:rsidRDefault="0034516C" w14:paraId="463A2BEC" w14:textId="48ED5301">
            <w:pPr>
              <w:pStyle w:val="BodyText"/>
              <w:spacing w:after="120"/>
              <w:rPr>
                <w:sz w:val="21"/>
                <w:szCs w:val="21"/>
              </w:rPr>
            </w:pPr>
            <w:r w:rsidRPr="009028B6">
              <w:rPr>
                <w:rFonts w:ascii="Segoe UI Symbol" w:hAnsi="Segoe UI Symbol" w:eastAsia="MS Gothic" w:cs="Segoe UI Symbol"/>
                <w:sz w:val="21"/>
                <w:szCs w:val="21"/>
              </w:rPr>
              <w:t xml:space="preserve">☐  </w:t>
            </w:r>
            <w:r w:rsidRPr="009028B6" w:rsidR="00E54848">
              <w:rPr>
                <w:sz w:val="21"/>
                <w:szCs w:val="21"/>
              </w:rPr>
              <w:t xml:space="preserve">Soliciting Material under § </w:t>
            </w:r>
            <w:proofErr w:type="spellStart"/>
            <w:r w:rsidRPr="009028B6" w:rsidR="00E54848">
              <w:rPr>
                <w:sz w:val="21"/>
                <w:szCs w:val="21"/>
              </w:rPr>
              <w:t>240.14a</w:t>
            </w:r>
            <w:proofErr w:type="spellEnd"/>
            <w:r w:rsidRPr="009028B6" w:rsidR="00E54848">
              <w:rPr>
                <w:sz w:val="21"/>
                <w:szCs w:val="21"/>
              </w:rPr>
              <w:t>-12</w:t>
            </w:r>
          </w:p>
        </w:tc>
        <w:tc>
          <w:tcPr>
            <w:tcW w:w="523" w:type="pct"/>
          </w:tcPr>
          <w:p w:rsidRPr="00E47B30" w:rsidR="00E54848" w:rsidP="00021420" w:rsidRDefault="00E54848" w14:paraId="40B3C770" w14:textId="77777777">
            <w:pPr>
              <w:pStyle w:val="BodyText"/>
              <w:spacing w:after="120"/>
              <w:jc w:val="center"/>
            </w:pPr>
          </w:p>
        </w:tc>
        <w:tc>
          <w:tcPr>
            <w:tcW w:w="1951" w:type="pct"/>
          </w:tcPr>
          <w:p w:rsidR="0034516C" w:rsidP="007E0B55" w:rsidRDefault="0034516C" w14:paraId="573C8F8D" w14:textId="4E8C1568">
            <w:pPr>
              <w:pStyle w:val="BodyText"/>
              <w:rPr>
                <w:i/>
                <w:iCs/>
              </w:rPr>
            </w:pPr>
            <w:r w:rsidRPr="004F1A33">
              <w:rPr>
                <w:i/>
                <w:iCs/>
              </w:rPr>
              <w:t>Determine whether a preliminary proxy statement must be filed with the SEC as a result of matters anticipated to be present for stockholder approval (e.g., charter amendments).</w:t>
            </w:r>
          </w:p>
          <w:p w:rsidR="0034516C" w:rsidP="007E0B55" w:rsidRDefault="0034516C" w14:paraId="6B5271CD" w14:textId="77777777">
            <w:pPr>
              <w:pStyle w:val="BodyText"/>
              <w:rPr>
                <w:i/>
                <w:iCs/>
              </w:rPr>
            </w:pPr>
            <w:r w:rsidRPr="004F1A33">
              <w:rPr>
                <w:i/>
                <w:iCs/>
              </w:rPr>
              <w:t>Confirm that the correct box has been checked to indicate preliminary or definitive proxy statement</w:t>
            </w:r>
            <w:r w:rsidR="004F1A33">
              <w:rPr>
                <w:i/>
                <w:iCs/>
              </w:rPr>
              <w:t>.</w:t>
            </w:r>
          </w:p>
          <w:p w:rsidRPr="00E47B30" w:rsidR="00666105" w:rsidP="007E0B55" w:rsidRDefault="00666105" w14:paraId="4BF6F133" w14:textId="0B56509B">
            <w:pPr>
              <w:pStyle w:val="BodyText"/>
            </w:pPr>
            <w:r>
              <w:rPr>
                <w:i/>
                <w:iCs/>
              </w:rPr>
              <w:t xml:space="preserve">If filing a revised definitive proxy statement under EDGAR Code </w:t>
            </w:r>
            <w:proofErr w:type="spellStart"/>
            <w:r>
              <w:rPr>
                <w:i/>
                <w:iCs/>
              </w:rPr>
              <w:t>DEFR14A</w:t>
            </w:r>
            <w:proofErr w:type="spellEnd"/>
            <w:r>
              <w:rPr>
                <w:i/>
                <w:iCs/>
              </w:rPr>
              <w:t xml:space="preserve">, revise checkbox to add </w:t>
            </w:r>
            <w:r w:rsidR="00113572">
              <w:rPr>
                <w:i/>
                <w:iCs/>
              </w:rPr>
              <w:t>“</w:t>
            </w:r>
            <w:r>
              <w:rPr>
                <w:i/>
                <w:iCs/>
              </w:rPr>
              <w:t>Revised</w:t>
            </w:r>
            <w:r w:rsidR="00113572">
              <w:rPr>
                <w:i/>
                <w:iCs/>
              </w:rPr>
              <w:t>”</w:t>
            </w:r>
            <w:r>
              <w:rPr>
                <w:i/>
                <w:iCs/>
              </w:rPr>
              <w:t xml:space="preserve"> prior to </w:t>
            </w:r>
            <w:r w:rsidR="00113572">
              <w:rPr>
                <w:i/>
                <w:iCs/>
              </w:rPr>
              <w:t>“</w:t>
            </w:r>
            <w:r>
              <w:rPr>
                <w:i/>
                <w:iCs/>
              </w:rPr>
              <w:t>Definitive Proxy Statement</w:t>
            </w:r>
            <w:r w:rsidR="00113572">
              <w:rPr>
                <w:i/>
                <w:iCs/>
              </w:rPr>
              <w:t>”</w:t>
            </w:r>
            <w:r>
              <w:rPr>
                <w:i/>
                <w:iCs/>
              </w:rPr>
              <w:t>.</w:t>
            </w:r>
          </w:p>
        </w:tc>
        <w:tc>
          <w:tcPr>
            <w:tcW w:w="931" w:type="pct"/>
          </w:tcPr>
          <w:p w:rsidRPr="00414307" w:rsidR="00E54848" w:rsidP="007E0B55" w:rsidRDefault="00454E86" w14:paraId="5B8FFF60" w14:textId="20F44E83">
            <w:pPr>
              <w:pStyle w:val="BodyText"/>
            </w:pPr>
            <w:r>
              <w:t xml:space="preserve">Preliminary proxy statement </w:t>
            </w:r>
            <w:r w:rsidR="008B13B9">
              <w:t>must</w:t>
            </w:r>
            <w:r>
              <w:t xml:space="preserve"> be filed at least 10 calendar days before definitive proxy statement is first sent or given to security holders</w:t>
            </w:r>
            <w:r w:rsidR="008B13B9">
              <w:t>.</w:t>
            </w:r>
            <w:r w:rsidR="00CF3580">
              <w:t xml:space="preserve"> </w:t>
            </w:r>
            <w:r w:rsidR="008B13B9">
              <w:t>Also, note</w:t>
            </w:r>
            <w:r w:rsidR="00C37BA8">
              <w:t xml:space="preserve"> that</w:t>
            </w:r>
            <w:r w:rsidR="008B13B9">
              <w:t xml:space="preserve"> the SEC Staff may elect to review </w:t>
            </w:r>
            <w:r w:rsidR="00C37BA8">
              <w:t xml:space="preserve">the preliminary </w:t>
            </w:r>
            <w:r w:rsidR="008B13B9">
              <w:t xml:space="preserve">proxy statement so it is advisable to build in time for potential SEC review of the </w:t>
            </w:r>
            <w:r w:rsidR="00C37BA8">
              <w:t xml:space="preserve">preliminary </w:t>
            </w:r>
            <w:r w:rsidR="008B13B9">
              <w:t>proxy statement.</w:t>
            </w:r>
          </w:p>
        </w:tc>
        <w:tc>
          <w:tcPr>
            <w:tcW w:w="561" w:type="pct"/>
          </w:tcPr>
          <w:p w:rsidRPr="007E0B55" w:rsidR="00E54848" w:rsidP="007E0B55" w:rsidRDefault="00E54848" w14:paraId="3E44FB83" w14:textId="77777777">
            <w:pPr>
              <w:pStyle w:val="BodyText"/>
              <w:contextualSpacing/>
              <w:rPr>
                <w:sz w:val="20"/>
              </w:rPr>
            </w:pPr>
          </w:p>
        </w:tc>
        <w:tc>
          <w:tcPr>
            <w:tcW w:w="344" w:type="pct"/>
            <w:vAlign w:val="center"/>
          </w:tcPr>
          <w:p w:rsidRPr="00E47B30" w:rsidR="00E54848" w:rsidP="0034516C" w:rsidRDefault="00E54848" w14:paraId="33BC0AAB"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E54848" w:rsidP="0034516C" w:rsidRDefault="00E54848" w14:paraId="7771B12B" w14:textId="4FF20C60">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211E5" w:rsidTr="00E708F1" w14:paraId="16A4CD74" w14:textId="77777777">
        <w:trPr>
          <w:cantSplit/>
          <w:jc w:val="center"/>
        </w:trPr>
        <w:tc>
          <w:tcPr>
            <w:tcW w:w="690" w:type="pct"/>
          </w:tcPr>
          <w:p w:rsidRPr="009028B6" w:rsidR="00E54848" w:rsidP="00021420" w:rsidRDefault="00E54848" w14:paraId="173A8D69" w14:textId="504B274C">
            <w:pPr>
              <w:rPr>
                <w:sz w:val="21"/>
                <w:szCs w:val="21"/>
              </w:rPr>
            </w:pPr>
            <w:r w:rsidRPr="009028B6">
              <w:rPr>
                <w:sz w:val="21"/>
                <w:szCs w:val="21"/>
              </w:rPr>
              <w:t xml:space="preserve">(Name of Registrant as Specified In Its Charter) </w:t>
            </w:r>
          </w:p>
        </w:tc>
        <w:tc>
          <w:tcPr>
            <w:tcW w:w="523" w:type="pct"/>
          </w:tcPr>
          <w:p w:rsidRPr="00E47B30" w:rsidR="00E54848" w:rsidP="00021420" w:rsidRDefault="00E54848" w14:paraId="3C4FBF40" w14:textId="77777777">
            <w:pPr>
              <w:pStyle w:val="BodyText"/>
              <w:spacing w:after="120"/>
              <w:jc w:val="center"/>
            </w:pPr>
          </w:p>
        </w:tc>
        <w:tc>
          <w:tcPr>
            <w:tcW w:w="1951" w:type="pct"/>
          </w:tcPr>
          <w:p w:rsidRPr="004F1A33" w:rsidR="00E54848" w:rsidP="007E0B55" w:rsidRDefault="003C3541" w14:paraId="5A68C660" w14:textId="5C4D6A56">
            <w:pPr>
              <w:pStyle w:val="BodyText"/>
              <w:rPr>
                <w:i/>
                <w:iCs/>
              </w:rPr>
            </w:pPr>
            <w:r w:rsidRPr="004F1A33">
              <w:rPr>
                <w:i/>
                <w:iCs/>
              </w:rPr>
              <w:t>Confirm the company</w:t>
            </w:r>
            <w:r w:rsidR="00113572">
              <w:rPr>
                <w:i/>
                <w:iCs/>
              </w:rPr>
              <w:t>’</w:t>
            </w:r>
            <w:r w:rsidRPr="004F1A33">
              <w:rPr>
                <w:i/>
                <w:iCs/>
              </w:rPr>
              <w:t>s exact name as shown in its charter and compare to the company</w:t>
            </w:r>
            <w:r w:rsidR="00113572">
              <w:rPr>
                <w:i/>
                <w:iCs/>
              </w:rPr>
              <w:t>’</w:t>
            </w:r>
            <w:r w:rsidRPr="004F1A33">
              <w:rPr>
                <w:i/>
                <w:iCs/>
              </w:rPr>
              <w:t>s name as shown on the company</w:t>
            </w:r>
            <w:r w:rsidR="00113572">
              <w:rPr>
                <w:i/>
                <w:iCs/>
              </w:rPr>
              <w:t>’</w:t>
            </w:r>
            <w:r w:rsidRPr="004F1A33">
              <w:rPr>
                <w:i/>
                <w:iCs/>
              </w:rPr>
              <w:t>s SEC EDGAR filings page.</w:t>
            </w:r>
          </w:p>
        </w:tc>
        <w:tc>
          <w:tcPr>
            <w:tcW w:w="931" w:type="pct"/>
          </w:tcPr>
          <w:p w:rsidRPr="00414307" w:rsidR="00E54848" w:rsidP="007E0B55" w:rsidRDefault="00E54848" w14:paraId="008F3FB3" w14:textId="77777777">
            <w:pPr>
              <w:pStyle w:val="BodyText"/>
            </w:pPr>
          </w:p>
        </w:tc>
        <w:tc>
          <w:tcPr>
            <w:tcW w:w="561" w:type="pct"/>
          </w:tcPr>
          <w:p w:rsidRPr="007E0B55" w:rsidR="00E54848" w:rsidP="007E0B55" w:rsidRDefault="00E54848" w14:paraId="128B5BF2" w14:textId="77777777">
            <w:pPr>
              <w:pStyle w:val="BodyText"/>
              <w:contextualSpacing/>
              <w:rPr>
                <w:sz w:val="20"/>
              </w:rPr>
            </w:pPr>
          </w:p>
        </w:tc>
        <w:tc>
          <w:tcPr>
            <w:tcW w:w="344" w:type="pct"/>
            <w:vAlign w:val="center"/>
          </w:tcPr>
          <w:p w:rsidRPr="00E47B30" w:rsidR="00E54848" w:rsidP="0034516C" w:rsidRDefault="00E54848" w14:paraId="21069247"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E54848" w:rsidP="0034516C" w:rsidRDefault="00E54848" w14:paraId="075302F3" w14:textId="142684F0">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211E5" w:rsidTr="00E708F1" w14:paraId="1AAA9A9F" w14:textId="77777777">
        <w:trPr>
          <w:cantSplit/>
          <w:jc w:val="center"/>
        </w:trPr>
        <w:tc>
          <w:tcPr>
            <w:tcW w:w="690" w:type="pct"/>
          </w:tcPr>
          <w:p w:rsidRPr="009028B6" w:rsidR="00E54848" w:rsidP="00021420" w:rsidRDefault="00E54848" w14:paraId="494EA2B4" w14:textId="3EF82D80">
            <w:pPr>
              <w:rPr>
                <w:sz w:val="21"/>
                <w:szCs w:val="21"/>
              </w:rPr>
            </w:pPr>
            <w:r w:rsidRPr="009028B6">
              <w:rPr>
                <w:sz w:val="21"/>
                <w:szCs w:val="21"/>
              </w:rPr>
              <w:t>(Name of Person(s) Filing Proxy Statement, if other than the Registrant)</w:t>
            </w:r>
          </w:p>
        </w:tc>
        <w:tc>
          <w:tcPr>
            <w:tcW w:w="523" w:type="pct"/>
          </w:tcPr>
          <w:p w:rsidRPr="00E47B30" w:rsidR="00E54848" w:rsidP="00021420" w:rsidRDefault="00E54848" w14:paraId="68C49E04" w14:textId="77777777">
            <w:pPr>
              <w:pStyle w:val="BodyText"/>
              <w:spacing w:after="120"/>
              <w:jc w:val="center"/>
            </w:pPr>
          </w:p>
        </w:tc>
        <w:tc>
          <w:tcPr>
            <w:tcW w:w="1951" w:type="pct"/>
          </w:tcPr>
          <w:p w:rsidRPr="00E47B30" w:rsidR="00E54848" w:rsidP="007E0B55" w:rsidRDefault="00E54848" w14:paraId="59EEFC5B" w14:textId="77777777">
            <w:pPr>
              <w:pStyle w:val="BodyText"/>
            </w:pPr>
          </w:p>
        </w:tc>
        <w:tc>
          <w:tcPr>
            <w:tcW w:w="931" w:type="pct"/>
          </w:tcPr>
          <w:p w:rsidRPr="00414307" w:rsidR="00E54848" w:rsidP="007E0B55" w:rsidRDefault="00E54848" w14:paraId="40542765" w14:textId="77777777">
            <w:pPr>
              <w:pStyle w:val="BodyText"/>
            </w:pPr>
          </w:p>
        </w:tc>
        <w:tc>
          <w:tcPr>
            <w:tcW w:w="561" w:type="pct"/>
          </w:tcPr>
          <w:p w:rsidRPr="007E0B55" w:rsidR="00E54848" w:rsidP="007E0B55" w:rsidRDefault="00E54848" w14:paraId="77781C96" w14:textId="77777777">
            <w:pPr>
              <w:pStyle w:val="BodyText"/>
              <w:contextualSpacing/>
              <w:rPr>
                <w:sz w:val="20"/>
              </w:rPr>
            </w:pPr>
          </w:p>
        </w:tc>
        <w:tc>
          <w:tcPr>
            <w:tcW w:w="344" w:type="pct"/>
            <w:vAlign w:val="center"/>
          </w:tcPr>
          <w:p w:rsidRPr="00E47B30" w:rsidR="00E54848" w:rsidP="0034516C" w:rsidRDefault="00E54848" w14:paraId="24C6A82E"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E54848" w:rsidP="0034516C" w:rsidRDefault="00E54848" w14:paraId="55EDB0F5" w14:textId="742EC101">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211E5" w:rsidTr="00E708F1" w14:paraId="6F1C9701" w14:textId="77777777">
        <w:trPr>
          <w:cantSplit/>
          <w:jc w:val="center"/>
        </w:trPr>
        <w:tc>
          <w:tcPr>
            <w:tcW w:w="690" w:type="pct"/>
          </w:tcPr>
          <w:p w:rsidRPr="009028B6" w:rsidR="00E54848" w:rsidP="00021420" w:rsidRDefault="00E54848" w14:paraId="6901E04F" w14:textId="171B43A2">
            <w:pPr>
              <w:pStyle w:val="BodyText"/>
              <w:spacing w:after="120"/>
              <w:rPr>
                <w:sz w:val="21"/>
                <w:szCs w:val="21"/>
              </w:rPr>
            </w:pPr>
            <w:r w:rsidRPr="009028B6">
              <w:rPr>
                <w:sz w:val="21"/>
                <w:szCs w:val="21"/>
              </w:rPr>
              <w:lastRenderedPageBreak/>
              <w:t>Payment of Filing Fee (Check all boxes that apply)</w:t>
            </w:r>
            <w:r w:rsidR="00081BB3">
              <w:rPr>
                <w:sz w:val="21"/>
                <w:szCs w:val="21"/>
              </w:rPr>
              <w:t xml:space="preserve">:  </w:t>
            </w:r>
          </w:p>
          <w:p w:rsidRPr="009028B6" w:rsidR="00E54848" w:rsidP="00021420" w:rsidRDefault="0034516C" w14:paraId="136B404A" w14:textId="3645CADD">
            <w:pPr>
              <w:pStyle w:val="BodyText"/>
              <w:spacing w:after="120"/>
              <w:rPr>
                <w:sz w:val="21"/>
                <w:szCs w:val="21"/>
              </w:rPr>
            </w:pPr>
            <w:r w:rsidRPr="009028B6">
              <w:rPr>
                <w:rFonts w:ascii="Segoe UI Symbol" w:hAnsi="Segoe UI Symbol" w:eastAsia="MS Gothic" w:cs="Segoe UI Symbol"/>
                <w:sz w:val="21"/>
                <w:szCs w:val="21"/>
              </w:rPr>
              <w:t xml:space="preserve">☐  </w:t>
            </w:r>
            <w:r w:rsidRPr="009028B6" w:rsidR="00E54848">
              <w:rPr>
                <w:sz w:val="21"/>
                <w:szCs w:val="21"/>
              </w:rPr>
              <w:t xml:space="preserve">No fee required </w:t>
            </w:r>
          </w:p>
          <w:p w:rsidRPr="009028B6" w:rsidR="00E54848" w:rsidP="00021420" w:rsidRDefault="0034516C" w14:paraId="28BFF6A1" w14:textId="782108B6">
            <w:pPr>
              <w:pStyle w:val="BodyText"/>
              <w:spacing w:after="120"/>
              <w:rPr>
                <w:sz w:val="21"/>
                <w:szCs w:val="21"/>
              </w:rPr>
            </w:pPr>
            <w:r w:rsidRPr="009028B6">
              <w:rPr>
                <w:rFonts w:ascii="Segoe UI Symbol" w:hAnsi="Segoe UI Symbol" w:eastAsia="MS Gothic" w:cs="Segoe UI Symbol"/>
                <w:sz w:val="21"/>
                <w:szCs w:val="21"/>
              </w:rPr>
              <w:t xml:space="preserve">☐  </w:t>
            </w:r>
            <w:r w:rsidRPr="009028B6" w:rsidR="00E54848">
              <w:rPr>
                <w:sz w:val="21"/>
                <w:szCs w:val="21"/>
              </w:rPr>
              <w:t xml:space="preserve">Fee paid previously with preliminary materials </w:t>
            </w:r>
          </w:p>
          <w:p w:rsidRPr="009028B6" w:rsidR="00E54848" w:rsidP="00021420" w:rsidRDefault="0034516C" w14:paraId="08BFC4C0" w14:textId="31DA5105">
            <w:pPr>
              <w:pStyle w:val="BodyText"/>
              <w:spacing w:after="120"/>
              <w:rPr>
                <w:sz w:val="21"/>
                <w:szCs w:val="21"/>
              </w:rPr>
            </w:pPr>
            <w:r w:rsidRPr="009028B6">
              <w:rPr>
                <w:rFonts w:ascii="Segoe UI Symbol" w:hAnsi="Segoe UI Symbol" w:eastAsia="MS Gothic" w:cs="Segoe UI Symbol"/>
                <w:sz w:val="21"/>
                <w:szCs w:val="21"/>
              </w:rPr>
              <w:t xml:space="preserve">☐  </w:t>
            </w:r>
            <w:r w:rsidRPr="009028B6" w:rsidR="00E54848">
              <w:rPr>
                <w:sz w:val="21"/>
                <w:szCs w:val="21"/>
              </w:rPr>
              <w:t xml:space="preserve">Fee computed on table in exhibit required by Item 25(b) per </w:t>
            </w:r>
            <w:r w:rsidR="009028B6">
              <w:rPr>
                <w:sz w:val="21"/>
                <w:szCs w:val="21"/>
              </w:rPr>
              <w:t xml:space="preserve">[Securities] </w:t>
            </w:r>
            <w:r w:rsidRPr="009028B6" w:rsidR="00E54848">
              <w:rPr>
                <w:sz w:val="21"/>
                <w:szCs w:val="21"/>
              </w:rPr>
              <w:t>Exchange Act</w:t>
            </w:r>
            <w:r w:rsidR="009028B6">
              <w:rPr>
                <w:sz w:val="21"/>
                <w:szCs w:val="21"/>
              </w:rPr>
              <w:t xml:space="preserve"> [of 1934]</w:t>
            </w:r>
            <w:r w:rsidRPr="009028B6" w:rsidR="00E54848">
              <w:rPr>
                <w:sz w:val="21"/>
                <w:szCs w:val="21"/>
              </w:rPr>
              <w:t xml:space="preserve"> Rules </w:t>
            </w:r>
            <w:proofErr w:type="spellStart"/>
            <w:r w:rsidRPr="009028B6" w:rsidR="00E54848">
              <w:rPr>
                <w:sz w:val="21"/>
                <w:szCs w:val="21"/>
              </w:rPr>
              <w:t>14a</w:t>
            </w:r>
            <w:proofErr w:type="spellEnd"/>
            <w:r w:rsidRPr="009028B6" w:rsidR="00E54848">
              <w:rPr>
                <w:sz w:val="21"/>
                <w:szCs w:val="21"/>
              </w:rPr>
              <w:t>-6(</w:t>
            </w:r>
            <w:proofErr w:type="spellStart"/>
            <w:r w:rsidRPr="009028B6" w:rsidR="00E54848">
              <w:rPr>
                <w:sz w:val="21"/>
                <w:szCs w:val="21"/>
              </w:rPr>
              <w:t>i</w:t>
            </w:r>
            <w:proofErr w:type="spellEnd"/>
            <w:r w:rsidRPr="009028B6" w:rsidR="00E54848">
              <w:rPr>
                <w:sz w:val="21"/>
                <w:szCs w:val="21"/>
              </w:rPr>
              <w:t>)(1) and 0-11</w:t>
            </w:r>
          </w:p>
        </w:tc>
        <w:tc>
          <w:tcPr>
            <w:tcW w:w="523" w:type="pct"/>
          </w:tcPr>
          <w:p w:rsidRPr="00E47B30" w:rsidR="00E54848" w:rsidP="00021420" w:rsidRDefault="00E54848" w14:paraId="3FEBB698" w14:textId="77777777">
            <w:pPr>
              <w:pStyle w:val="BodyText"/>
              <w:spacing w:after="120"/>
              <w:jc w:val="center"/>
            </w:pPr>
          </w:p>
        </w:tc>
        <w:tc>
          <w:tcPr>
            <w:tcW w:w="1951" w:type="pct"/>
          </w:tcPr>
          <w:p w:rsidRPr="00A6332D" w:rsidR="0034516C" w:rsidP="007E0B55" w:rsidRDefault="0034516C" w14:paraId="50C8AB93" w14:textId="6622D88B">
            <w:pPr>
              <w:pStyle w:val="BodyText"/>
              <w:rPr>
                <w:i/>
                <w:iCs/>
              </w:rPr>
            </w:pPr>
            <w:r w:rsidRPr="004F1A33">
              <w:rPr>
                <w:i/>
                <w:iCs/>
              </w:rPr>
              <w:t>Determine whether any filing fee will be payable in connection with the filing</w:t>
            </w:r>
            <w:r w:rsidR="0062501B">
              <w:rPr>
                <w:i/>
                <w:iCs/>
              </w:rPr>
              <w:t xml:space="preserve"> of the proxy statement</w:t>
            </w:r>
            <w:r w:rsidRPr="004F1A33">
              <w:rPr>
                <w:i/>
                <w:iCs/>
              </w:rPr>
              <w:t>.</w:t>
            </w:r>
            <w:r w:rsidR="002367B1">
              <w:rPr>
                <w:i/>
                <w:iCs/>
              </w:rPr>
              <w:t xml:space="preserve"> There is typically no fee </w:t>
            </w:r>
            <w:r w:rsidR="00DE72E8">
              <w:rPr>
                <w:i/>
                <w:iCs/>
              </w:rPr>
              <w:t xml:space="preserve">for a proxy statement filed </w:t>
            </w:r>
            <w:r w:rsidR="002367B1">
              <w:rPr>
                <w:i/>
                <w:iCs/>
              </w:rPr>
              <w:t>in connection with annual meetings.</w:t>
            </w:r>
          </w:p>
        </w:tc>
        <w:tc>
          <w:tcPr>
            <w:tcW w:w="931" w:type="pct"/>
          </w:tcPr>
          <w:p w:rsidR="00454E86" w:rsidP="007E0B55" w:rsidRDefault="00454E86" w14:paraId="20BE410D" w14:textId="3571C179">
            <w:pPr>
              <w:pStyle w:val="BodyText"/>
            </w:pPr>
            <w:r>
              <w:t>Amendments to SEC forms and rules effective January 31, 2022 require new fee table exhibits for fee-bearing filings</w:t>
            </w:r>
            <w:r w:rsidR="00081BB3">
              <w:t xml:space="preserve">:  </w:t>
            </w:r>
            <w:hyperlink w:history="1" r:id="rId24">
              <w:r w:rsidRPr="00454E86">
                <w:rPr>
                  <w:rStyle w:val="Hyperlink"/>
                </w:rPr>
                <w:t>SEC Filing Fee Exhibit, Payment and Related Changes</w:t>
              </w:r>
            </w:hyperlink>
            <w:r>
              <w:t xml:space="preserve"> (Goodwin alert) </w:t>
            </w:r>
          </w:p>
          <w:p w:rsidRPr="004F1A33" w:rsidR="00E54848" w:rsidP="007E0B55" w:rsidRDefault="004F1A33" w14:paraId="3D6B15BF" w14:textId="40E4B345">
            <w:pPr>
              <w:pStyle w:val="BodyText"/>
            </w:pPr>
            <w:r w:rsidRPr="004F1A33">
              <w:t xml:space="preserve">Proxy statements filed in connection with an annual meeting of </w:t>
            </w:r>
            <w:r>
              <w:t>security holders</w:t>
            </w:r>
            <w:r w:rsidRPr="004F1A33">
              <w:t xml:space="preserve"> </w:t>
            </w:r>
            <w:r>
              <w:t>that involves only</w:t>
            </w:r>
            <w:r w:rsidRPr="004F1A33">
              <w:t xml:space="preserve"> the election of directors, ratification of auditor selection and a say-on-pay resolution do not require a fee.</w:t>
            </w:r>
          </w:p>
        </w:tc>
        <w:tc>
          <w:tcPr>
            <w:tcW w:w="561" w:type="pct"/>
          </w:tcPr>
          <w:p w:rsidRPr="007E0B55" w:rsidR="00E54848" w:rsidP="007E0B55" w:rsidRDefault="00E54848" w14:paraId="502E1714" w14:textId="77777777">
            <w:pPr>
              <w:pStyle w:val="BodyText"/>
              <w:contextualSpacing/>
              <w:rPr>
                <w:sz w:val="20"/>
              </w:rPr>
            </w:pPr>
          </w:p>
        </w:tc>
        <w:tc>
          <w:tcPr>
            <w:tcW w:w="344" w:type="pct"/>
            <w:vAlign w:val="center"/>
          </w:tcPr>
          <w:p w:rsidRPr="00E47B30" w:rsidR="00E54848" w:rsidP="0034516C" w:rsidRDefault="00E54848" w14:paraId="40AF2A77"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E54848" w:rsidP="0034516C" w:rsidRDefault="00E54848" w14:paraId="13383A2D" w14:textId="1AFCEEAD">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834997" w:rsidTr="00834997" w14:paraId="627B6F2D" w14:textId="77777777">
        <w:trPr>
          <w:cantSplit/>
          <w:jc w:val="center"/>
        </w:trPr>
        <w:tc>
          <w:tcPr>
            <w:tcW w:w="5000" w:type="pct"/>
            <w:gridSpan w:val="6"/>
          </w:tcPr>
          <w:p w:rsidR="00834997" w:rsidP="00834997" w:rsidRDefault="00834997" w14:paraId="3F6F1DDA" w14:textId="77777777">
            <w:pPr>
              <w:spacing w:after="0"/>
              <w:rPr>
                <w:szCs w:val="22"/>
              </w:rPr>
            </w:pPr>
            <w:r>
              <w:rPr>
                <w:b/>
                <w:bCs/>
                <w:szCs w:val="22"/>
              </w:rPr>
              <w:lastRenderedPageBreak/>
              <w:t>Supplemental and Revised or Amended Proxy Materials</w:t>
            </w:r>
          </w:p>
          <w:p w:rsidR="00834997" w:rsidP="00834997" w:rsidRDefault="00834997" w14:paraId="32C905CD" w14:textId="77777777">
            <w:pPr>
              <w:spacing w:after="0"/>
              <w:rPr>
                <w:szCs w:val="22"/>
              </w:rPr>
            </w:pPr>
          </w:p>
          <w:p w:rsidR="00834997" w:rsidP="00834997" w:rsidRDefault="00834997" w14:paraId="24ABDE15" w14:textId="5B05300D">
            <w:pPr>
              <w:spacing w:after="0"/>
              <w:rPr>
                <w:szCs w:val="22"/>
              </w:rPr>
            </w:pPr>
            <w:r>
              <w:rPr>
                <w:szCs w:val="22"/>
              </w:rPr>
              <w:t>If the company uses additional solicitation materials or needs to revise or amend the proxy materials, th</w:t>
            </w:r>
            <w:r w:rsidR="00732F64">
              <w:rPr>
                <w:szCs w:val="22"/>
              </w:rPr>
              <w:t>e company should evaluate SEC filing requirements, updating of proxy voting platforms, how (or if) these materials will be distributed to security holders, and web posting issues.</w:t>
            </w:r>
            <w:r w:rsidR="00774D17">
              <w:rPr>
                <w:szCs w:val="22"/>
              </w:rPr>
              <w:t xml:space="preserve"> </w:t>
            </w:r>
            <w:r w:rsidR="00732F64">
              <w:rPr>
                <w:szCs w:val="22"/>
              </w:rPr>
              <w:t>In many cases, these decisions will turn on the materiality of the new or updated information, but companies must review SEC and stock exchange requirements as well.</w:t>
            </w:r>
          </w:p>
          <w:p w:rsidR="00732F64" w:rsidP="00834997" w:rsidRDefault="00732F64" w14:paraId="1D74F73A" w14:textId="77777777">
            <w:pPr>
              <w:spacing w:after="0"/>
              <w:rPr>
                <w:szCs w:val="22"/>
              </w:rPr>
            </w:pPr>
          </w:p>
          <w:p w:rsidR="00732F64" w:rsidP="00732F64" w:rsidRDefault="00732F64" w14:paraId="4B60EC23" w14:textId="5C1EABE8">
            <w:pPr>
              <w:spacing w:after="0"/>
              <w:rPr>
                <w:szCs w:val="22"/>
              </w:rPr>
            </w:pPr>
            <w:r>
              <w:rPr>
                <w:b/>
                <w:bCs/>
                <w:szCs w:val="22"/>
              </w:rPr>
              <w:t>Supplemental materials</w:t>
            </w:r>
            <w:r>
              <w:rPr>
                <w:szCs w:val="22"/>
              </w:rPr>
              <w:t xml:space="preserve"> typically include a press release, a letter to security holders, a script used by company employees who contact security holders by telephone, or a slide deck.</w:t>
            </w:r>
            <w:r w:rsidR="00774D17">
              <w:rPr>
                <w:szCs w:val="22"/>
              </w:rPr>
              <w:t xml:space="preserve"> </w:t>
            </w:r>
            <w:r>
              <w:rPr>
                <w:szCs w:val="22"/>
              </w:rPr>
              <w:t xml:space="preserve">Supplemental materials should be filed as </w:t>
            </w:r>
            <w:r w:rsidR="00113572">
              <w:rPr>
                <w:szCs w:val="22"/>
              </w:rPr>
              <w:t>“</w:t>
            </w:r>
            <w:r w:rsidRPr="00732F64">
              <w:rPr>
                <w:szCs w:val="22"/>
              </w:rPr>
              <w:t xml:space="preserve">Definitive Additional </w:t>
            </w:r>
            <w:r>
              <w:rPr>
                <w:szCs w:val="22"/>
              </w:rPr>
              <w:t>Materials</w:t>
            </w:r>
            <w:r w:rsidR="00113572">
              <w:rPr>
                <w:szCs w:val="22"/>
              </w:rPr>
              <w:t>”</w:t>
            </w:r>
            <w:r w:rsidRPr="00732F64">
              <w:rPr>
                <w:szCs w:val="22"/>
              </w:rPr>
              <w:t xml:space="preserve"> </w:t>
            </w:r>
            <w:r>
              <w:rPr>
                <w:szCs w:val="22"/>
              </w:rPr>
              <w:t xml:space="preserve">by checking that </w:t>
            </w:r>
            <w:r w:rsidRPr="00732F64">
              <w:rPr>
                <w:szCs w:val="22"/>
              </w:rPr>
              <w:t>box on the cover page of Schedule 14A</w:t>
            </w:r>
            <w:r>
              <w:rPr>
                <w:szCs w:val="22"/>
              </w:rPr>
              <w:t xml:space="preserve"> and using EDGAR form type </w:t>
            </w:r>
            <w:r w:rsidR="00113572">
              <w:rPr>
                <w:szCs w:val="22"/>
              </w:rPr>
              <w:t>“</w:t>
            </w:r>
            <w:proofErr w:type="spellStart"/>
            <w:r w:rsidRPr="00732F64">
              <w:rPr>
                <w:szCs w:val="22"/>
              </w:rPr>
              <w:t>DEFA14A</w:t>
            </w:r>
            <w:proofErr w:type="spellEnd"/>
            <w:r w:rsidR="00113572">
              <w:rPr>
                <w:szCs w:val="22"/>
              </w:rPr>
              <w:t>”</w:t>
            </w:r>
            <w:r w:rsidRPr="00732F64">
              <w:rPr>
                <w:szCs w:val="22"/>
              </w:rPr>
              <w:t xml:space="preserve"> </w:t>
            </w:r>
            <w:r>
              <w:rPr>
                <w:szCs w:val="22"/>
              </w:rPr>
              <w:t>when filing electronically.</w:t>
            </w:r>
            <w:r w:rsidR="00774D17">
              <w:rPr>
                <w:szCs w:val="22"/>
              </w:rPr>
              <w:t xml:space="preserve"> </w:t>
            </w:r>
            <w:r w:rsidR="00F82D01">
              <w:rPr>
                <w:szCs w:val="22"/>
              </w:rPr>
              <w:t>Supplemental materials are often not mailed to security holders.</w:t>
            </w:r>
            <w:r w:rsidR="00774D17">
              <w:rPr>
                <w:szCs w:val="22"/>
              </w:rPr>
              <w:t xml:space="preserve"> </w:t>
            </w:r>
            <w:r w:rsidR="00F82D01">
              <w:rPr>
                <w:szCs w:val="22"/>
              </w:rPr>
              <w:t>If mailed, there will usually be no requirement to mail to all holders.</w:t>
            </w:r>
          </w:p>
          <w:p w:rsidR="00732F64" w:rsidP="00732F64" w:rsidRDefault="00732F64" w14:paraId="7468BCEC" w14:textId="77777777">
            <w:pPr>
              <w:spacing w:after="0"/>
              <w:rPr>
                <w:szCs w:val="22"/>
              </w:rPr>
            </w:pPr>
          </w:p>
          <w:p w:rsidR="00732F64" w:rsidP="00732F64" w:rsidRDefault="00732F64" w14:paraId="0F2556EE" w14:textId="534A25B0">
            <w:pPr>
              <w:spacing w:after="0"/>
            </w:pPr>
            <w:r>
              <w:rPr>
                <w:b/>
                <w:bCs/>
                <w:szCs w:val="22"/>
              </w:rPr>
              <w:t>Revised or amended materials</w:t>
            </w:r>
            <w:r>
              <w:t xml:space="preserve"> </w:t>
            </w:r>
            <w:r w:rsidR="00F82D01">
              <w:t>usually involve material changes to the proxy materials.</w:t>
            </w:r>
            <w:r w:rsidR="00774D17">
              <w:t xml:space="preserve"> </w:t>
            </w:r>
            <w:r w:rsidR="00F82D01">
              <w:t xml:space="preserve">These </w:t>
            </w:r>
            <w:r>
              <w:t>can include anything from an arguably immaterial but important correction to a director</w:t>
            </w:r>
            <w:r w:rsidR="00113572">
              <w:t>’</w:t>
            </w:r>
            <w:r>
              <w:t>s biography to a material restructuring of a proposal after discussions with a proxy advisor or institutional security holder.</w:t>
            </w:r>
            <w:r w:rsidR="00774D17">
              <w:t xml:space="preserve"> </w:t>
            </w:r>
            <w:r>
              <w:t>These materials may be a single page that identifies and corrects a statement in the proxy statement or may be a complete restatement of the proxy statement.</w:t>
            </w:r>
            <w:r w:rsidR="00774D17">
              <w:t xml:space="preserve"> </w:t>
            </w:r>
            <w:r>
              <w:t xml:space="preserve">Revised and amended materials should be filed as </w:t>
            </w:r>
            <w:r w:rsidR="00113572">
              <w:t>“</w:t>
            </w:r>
            <w:r>
              <w:t>Definitive Additional Materials</w:t>
            </w:r>
            <w:r w:rsidR="00113572">
              <w:t>”</w:t>
            </w:r>
            <w:r>
              <w:t xml:space="preserve"> by checking the box on the cover page of Schedule 14A and using EDGAR form type </w:t>
            </w:r>
            <w:r w:rsidR="00113572">
              <w:t>“</w:t>
            </w:r>
            <w:proofErr w:type="spellStart"/>
            <w:r>
              <w:t>DEFR14A</w:t>
            </w:r>
            <w:proofErr w:type="spellEnd"/>
            <w:r w:rsidR="00113572">
              <w:t>”</w:t>
            </w:r>
            <w:r>
              <w:t xml:space="preserve"> when filing electronically.</w:t>
            </w:r>
            <w:r w:rsidR="00774D17">
              <w:t xml:space="preserve"> </w:t>
            </w:r>
            <w:r w:rsidR="00F82D01">
              <w:t xml:space="preserve">If the matter to be amended or revised required the company to file preliminary proxy materials with the SEC, the company may need to restart the 10 business day review period before filing the revised definitive proxy materials and/or distributing a revised proxy card. </w:t>
            </w:r>
          </w:p>
          <w:p w:rsidR="00732F64" w:rsidP="00732F64" w:rsidRDefault="00732F64" w14:paraId="49D7A6EB" w14:textId="77777777">
            <w:pPr>
              <w:spacing w:after="0"/>
            </w:pPr>
          </w:p>
          <w:p w:rsidRPr="00732F64" w:rsidR="00732F64" w:rsidP="00732F64" w:rsidRDefault="00732F64" w14:paraId="6ADAAF13" w14:textId="2155ED1F">
            <w:pPr>
              <w:spacing w:after="0"/>
            </w:pPr>
            <w:r>
              <w:rPr>
                <w:b/>
                <w:bCs/>
              </w:rPr>
              <w:t>Revised proxy cards</w:t>
            </w:r>
            <w:r>
              <w:t xml:space="preserve"> must include the complete contents of the original proxy card, as corrected or amended.</w:t>
            </w:r>
            <w:r w:rsidR="00774D17">
              <w:t xml:space="preserve"> </w:t>
            </w:r>
            <w:r>
              <w:t xml:space="preserve">SEC rules do not permit a company to distribute a </w:t>
            </w:r>
            <w:r w:rsidR="00113572">
              <w:t>“</w:t>
            </w:r>
            <w:r>
              <w:t>supplemental</w:t>
            </w:r>
            <w:r w:rsidR="00113572">
              <w:t>”</w:t>
            </w:r>
            <w:r>
              <w:t xml:space="preserve"> proxy card for less than all of the matters that security holders will act on at the annual meeting.</w:t>
            </w:r>
          </w:p>
        </w:tc>
      </w:tr>
      <w:tr w:rsidRPr="00E47B30" w:rsidR="00A73A28" w:rsidTr="00E708F1" w14:paraId="5EDEB219" w14:textId="77777777">
        <w:trPr>
          <w:cantSplit/>
          <w:jc w:val="center"/>
        </w:trPr>
        <w:tc>
          <w:tcPr>
            <w:tcW w:w="5000" w:type="pct"/>
            <w:gridSpan w:val="6"/>
            <w:shd w:val="clear" w:color="auto" w:fill="D9D9D9" w:themeFill="background1" w:themeFillShade="D9"/>
          </w:tcPr>
          <w:p w:rsidRPr="00A73A28" w:rsidR="00A73A28" w:rsidP="00E708F1" w:rsidRDefault="00A73A28" w14:paraId="39C893E6" w14:textId="1AAA8FD2">
            <w:pPr>
              <w:keepNext/>
              <w:spacing w:after="0"/>
              <w:rPr>
                <w:b/>
                <w:bCs/>
                <w:szCs w:val="22"/>
              </w:rPr>
            </w:pPr>
            <w:r>
              <w:rPr>
                <w:b/>
                <w:bCs/>
                <w:szCs w:val="22"/>
              </w:rPr>
              <w:lastRenderedPageBreak/>
              <w:t>Item 1.  Date, Time and Place Information</w:t>
            </w:r>
          </w:p>
        </w:tc>
      </w:tr>
      <w:tr w:rsidRPr="00E47B30" w:rsidR="00505AF1" w:rsidTr="00E708F1" w14:paraId="05B2B469" w14:textId="77777777">
        <w:trPr>
          <w:cantSplit/>
          <w:jc w:val="center"/>
        </w:trPr>
        <w:tc>
          <w:tcPr>
            <w:tcW w:w="690" w:type="pct"/>
          </w:tcPr>
          <w:p w:rsidRPr="00E47B30" w:rsidR="00505AF1" w:rsidP="00505AF1" w:rsidRDefault="00505AF1" w14:paraId="669D43DC" w14:textId="616BC8C7">
            <w:pPr>
              <w:pStyle w:val="BodyText"/>
              <w:spacing w:after="120"/>
            </w:pPr>
            <w:r w:rsidRPr="00E47B30">
              <w:t>Item 1. Date, Time and Place Information</w:t>
            </w:r>
          </w:p>
        </w:tc>
        <w:tc>
          <w:tcPr>
            <w:tcW w:w="523" w:type="pct"/>
          </w:tcPr>
          <w:p w:rsidRPr="00E47B30" w:rsidR="00505AF1" w:rsidP="00505AF1" w:rsidRDefault="000D00E3" w14:paraId="3A413CB1" w14:textId="7F0259F9">
            <w:pPr>
              <w:pStyle w:val="BodyText"/>
              <w:spacing w:after="120"/>
              <w:jc w:val="center"/>
            </w:pPr>
            <w:hyperlink w:history="1" w:anchor="p-240.14a-5(e)" r:id="rId25">
              <w:r w:rsidRPr="00E47B30" w:rsidR="00505AF1">
                <w:rPr>
                  <w:rStyle w:val="Hyperlink"/>
                </w:rPr>
                <w:t xml:space="preserve">Rule </w:t>
              </w:r>
              <w:proofErr w:type="spellStart"/>
              <w:r w:rsidRPr="00E47B30" w:rsidR="00505AF1">
                <w:rPr>
                  <w:rStyle w:val="Hyperlink"/>
                </w:rPr>
                <w:t>14a</w:t>
              </w:r>
              <w:proofErr w:type="spellEnd"/>
              <w:r w:rsidRPr="00E47B30" w:rsidR="00505AF1">
                <w:rPr>
                  <w:rStyle w:val="Hyperlink"/>
                </w:rPr>
                <w:t>-5(e)</w:t>
              </w:r>
            </w:hyperlink>
          </w:p>
        </w:tc>
        <w:tc>
          <w:tcPr>
            <w:tcW w:w="1951" w:type="pct"/>
          </w:tcPr>
          <w:p w:rsidR="00505AF1" w:rsidP="00505AF1" w:rsidRDefault="00505AF1" w14:paraId="178DC42B" w14:textId="77777777">
            <w:pPr>
              <w:pStyle w:val="BodyText"/>
              <w:rPr>
                <w:b/>
                <w:bCs/>
                <w:iCs/>
                <w:color w:val="000000"/>
                <w:szCs w:val="22"/>
              </w:rPr>
            </w:pPr>
            <w:r>
              <w:rPr>
                <w:b/>
                <w:bCs/>
                <w:iCs/>
                <w:color w:val="000000"/>
                <w:szCs w:val="22"/>
              </w:rPr>
              <w:t>Virtual Meetings</w:t>
            </w:r>
          </w:p>
          <w:p w:rsidRPr="00433BA7" w:rsidR="00505AF1" w:rsidP="00505AF1" w:rsidRDefault="00505AF1" w14:paraId="34AB5DAB" w14:textId="5BA6FF29">
            <w:pPr>
              <w:pStyle w:val="BodyText"/>
              <w:rPr>
                <w:i/>
                <w:color w:val="000000"/>
                <w:szCs w:val="22"/>
              </w:rPr>
            </w:pPr>
            <w:r>
              <w:rPr>
                <w:i/>
                <w:color w:val="000000"/>
                <w:szCs w:val="22"/>
              </w:rPr>
              <w:t xml:space="preserve">In addition to the requirements of Item 1 that follow, </w:t>
            </w:r>
            <w:r w:rsidR="00A73A28">
              <w:rPr>
                <w:i/>
                <w:color w:val="000000"/>
                <w:szCs w:val="22"/>
              </w:rPr>
              <w:t>confirm that</w:t>
            </w:r>
            <w:r w:rsidRPr="00433BA7">
              <w:rPr>
                <w:i/>
                <w:color w:val="000000"/>
                <w:szCs w:val="22"/>
              </w:rPr>
              <w:t xml:space="preserve"> any disclosure </w:t>
            </w:r>
            <w:r w:rsidRPr="00433BA7" w:rsidR="00A73A28">
              <w:rPr>
                <w:i/>
                <w:color w:val="000000"/>
                <w:szCs w:val="22"/>
              </w:rPr>
              <w:t xml:space="preserve">about how stockholders will be able to access and participate in </w:t>
            </w:r>
            <w:r w:rsidRPr="00433BA7">
              <w:rPr>
                <w:i/>
                <w:color w:val="000000"/>
                <w:szCs w:val="22"/>
              </w:rPr>
              <w:t xml:space="preserve">a planned or potential virtual meeting </w:t>
            </w:r>
            <w:r w:rsidR="00A73A28">
              <w:rPr>
                <w:i/>
                <w:color w:val="000000"/>
                <w:szCs w:val="22"/>
              </w:rPr>
              <w:t>is</w:t>
            </w:r>
            <w:r w:rsidRPr="00433BA7">
              <w:rPr>
                <w:i/>
                <w:color w:val="000000"/>
                <w:szCs w:val="22"/>
              </w:rPr>
              <w:t xml:space="preserve"> clear and accurate.</w:t>
            </w:r>
          </w:p>
          <w:p w:rsidR="00505AF1" w:rsidP="00505AF1" w:rsidRDefault="00647D48" w14:paraId="2D353DDE" w14:textId="0CCD80B1">
            <w:pPr>
              <w:pStyle w:val="BodyText"/>
              <w:rPr>
                <w:iCs/>
                <w:color w:val="000000"/>
                <w:szCs w:val="22"/>
              </w:rPr>
            </w:pPr>
            <w:r>
              <w:rPr>
                <w:i/>
                <w:color w:val="000000"/>
                <w:szCs w:val="22"/>
              </w:rPr>
              <w:t>Company should confirm</w:t>
            </w:r>
            <w:r w:rsidRPr="00433BA7" w:rsidR="00505AF1">
              <w:rPr>
                <w:i/>
                <w:color w:val="000000"/>
                <w:szCs w:val="22"/>
              </w:rPr>
              <w:t xml:space="preserve"> that the virtual meeting service provider has provided and/or reviewed the language – including any hyperlinks, passwords or meeting identification numbers -- to ensure that all information provided is complete and accurate</w:t>
            </w:r>
            <w:r w:rsidRPr="003011FF" w:rsidR="00505AF1">
              <w:rPr>
                <w:iCs/>
                <w:color w:val="000000"/>
                <w:szCs w:val="22"/>
              </w:rPr>
              <w:t>.</w:t>
            </w:r>
          </w:p>
          <w:p w:rsidRPr="004F1A33" w:rsidR="00505AF1" w:rsidP="00505AF1" w:rsidRDefault="00505AF1" w14:paraId="73C2301C" w14:textId="6E9331D5">
            <w:pPr>
              <w:pStyle w:val="BodyText"/>
              <w:rPr>
                <w:i/>
                <w:iCs/>
              </w:rPr>
            </w:pPr>
            <w:r w:rsidRPr="00583FAF">
              <w:t>Note that some proxy advisors and institutional investors disfavor virtual-only meetings and may expect heightened disclosure if the company discloses that it may conduct a virtual-only meeting.</w:t>
            </w:r>
          </w:p>
        </w:tc>
        <w:tc>
          <w:tcPr>
            <w:tcW w:w="931" w:type="pct"/>
          </w:tcPr>
          <w:p w:rsidRPr="00583FAF" w:rsidR="00505AF1" w:rsidP="00505AF1" w:rsidRDefault="000D00E3" w14:paraId="2D046CB1" w14:textId="0098AEFB">
            <w:pPr>
              <w:pStyle w:val="BodyText"/>
              <w:rPr>
                <w:iCs/>
                <w:color w:val="000000"/>
                <w:szCs w:val="22"/>
              </w:rPr>
            </w:pPr>
            <w:hyperlink w:history="1" r:id="rId26">
              <w:r w:rsidRPr="00583FAF" w:rsidR="00505AF1">
                <w:rPr>
                  <w:rStyle w:val="Hyperlink"/>
                  <w:iCs/>
                  <w:szCs w:val="22"/>
                </w:rPr>
                <w:t>Staff Guidance for Conducting Shareholder Meetings in Light of COVID-19 Concerns</w:t>
              </w:r>
            </w:hyperlink>
            <w:r w:rsidR="00505AF1">
              <w:rPr>
                <w:iCs/>
                <w:color w:val="000000"/>
                <w:szCs w:val="22"/>
              </w:rPr>
              <w:t xml:space="preserve"> (latest update</w:t>
            </w:r>
            <w:r w:rsidR="00081BB3">
              <w:rPr>
                <w:iCs/>
                <w:color w:val="000000"/>
                <w:szCs w:val="22"/>
              </w:rPr>
              <w:t xml:space="preserve">:  </w:t>
            </w:r>
            <w:r w:rsidR="00505AF1">
              <w:rPr>
                <w:iCs/>
                <w:color w:val="000000"/>
                <w:szCs w:val="22"/>
              </w:rPr>
              <w:t>January 19, 2022)</w:t>
            </w:r>
          </w:p>
          <w:p w:rsidRPr="00414307" w:rsidR="00505AF1" w:rsidP="00505AF1" w:rsidRDefault="000D00E3" w14:paraId="7BBC8BE4" w14:textId="2498CB9B">
            <w:pPr>
              <w:pStyle w:val="BodyText"/>
              <w:rPr>
                <w:iCs/>
                <w:color w:val="000000"/>
                <w:szCs w:val="22"/>
              </w:rPr>
            </w:pPr>
            <w:hyperlink w:history="1" r:id="rId27">
              <w:r w:rsidRPr="00583FAF" w:rsidR="00505AF1">
                <w:rPr>
                  <w:rStyle w:val="Hyperlink"/>
                  <w:iCs/>
                  <w:szCs w:val="22"/>
                </w:rPr>
                <w:t xml:space="preserve">SEC Provides Guidance </w:t>
              </w:r>
              <w:r w:rsidR="00505AF1">
                <w:rPr>
                  <w:rStyle w:val="Hyperlink"/>
                  <w:iCs/>
                  <w:szCs w:val="22"/>
                </w:rPr>
                <w:t>on</w:t>
              </w:r>
              <w:r w:rsidRPr="00583FAF" w:rsidR="00505AF1">
                <w:rPr>
                  <w:rStyle w:val="Hyperlink"/>
                  <w:iCs/>
                  <w:szCs w:val="22"/>
                </w:rPr>
                <w:t xml:space="preserve"> Virtual Annual Meetings </w:t>
              </w:r>
              <w:r w:rsidR="00505AF1">
                <w:rPr>
                  <w:rStyle w:val="Hyperlink"/>
                  <w:iCs/>
                  <w:szCs w:val="22"/>
                </w:rPr>
                <w:t>in</w:t>
              </w:r>
              <w:r w:rsidRPr="00583FAF" w:rsidR="00505AF1">
                <w:rPr>
                  <w:rStyle w:val="Hyperlink"/>
                  <w:iCs/>
                  <w:szCs w:val="22"/>
                </w:rPr>
                <w:t xml:space="preserve"> View </w:t>
              </w:r>
              <w:r w:rsidR="00505AF1">
                <w:rPr>
                  <w:rStyle w:val="Hyperlink"/>
                  <w:iCs/>
                  <w:szCs w:val="22"/>
                </w:rPr>
                <w:t>of</w:t>
              </w:r>
              <w:r w:rsidRPr="00583FAF" w:rsidR="00505AF1">
                <w:rPr>
                  <w:rStyle w:val="Hyperlink"/>
                  <w:iCs/>
                  <w:szCs w:val="22"/>
                </w:rPr>
                <w:t xml:space="preserve"> Covid-19 Concerns</w:t>
              </w:r>
            </w:hyperlink>
            <w:r w:rsidR="00505AF1">
              <w:rPr>
                <w:iCs/>
                <w:color w:val="000000"/>
                <w:szCs w:val="22"/>
              </w:rPr>
              <w:t xml:space="preserve"> (Goodwin alert)</w:t>
            </w:r>
          </w:p>
        </w:tc>
        <w:tc>
          <w:tcPr>
            <w:tcW w:w="561" w:type="pct"/>
          </w:tcPr>
          <w:p w:rsidRPr="007E0B55" w:rsidR="00505AF1" w:rsidP="00505AF1" w:rsidRDefault="00505AF1" w14:paraId="0B4FB56C" w14:textId="77777777">
            <w:pPr>
              <w:pStyle w:val="BodyText"/>
              <w:contextualSpacing/>
              <w:rPr>
                <w:sz w:val="20"/>
              </w:rPr>
            </w:pPr>
          </w:p>
        </w:tc>
        <w:tc>
          <w:tcPr>
            <w:tcW w:w="344" w:type="pct"/>
            <w:vAlign w:val="center"/>
          </w:tcPr>
          <w:p w:rsidRPr="00E47B30" w:rsidR="00505AF1" w:rsidP="00505AF1" w:rsidRDefault="00505AF1" w14:paraId="6048779A"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505AF1" w:rsidP="00505AF1" w:rsidRDefault="00505AF1" w14:paraId="0BEFB300" w14:textId="57212D47">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505AF1" w:rsidTr="00E708F1" w14:paraId="56AC4DFD" w14:textId="77777777">
        <w:trPr>
          <w:cantSplit/>
          <w:jc w:val="center"/>
        </w:trPr>
        <w:tc>
          <w:tcPr>
            <w:tcW w:w="690" w:type="pct"/>
          </w:tcPr>
          <w:p w:rsidRPr="00E47B30" w:rsidR="00505AF1" w:rsidP="00505AF1" w:rsidRDefault="00505AF1" w14:paraId="6A1C2724" w14:textId="77777777">
            <w:pPr>
              <w:pStyle w:val="BodyText"/>
              <w:spacing w:after="120"/>
            </w:pPr>
          </w:p>
        </w:tc>
        <w:tc>
          <w:tcPr>
            <w:tcW w:w="523" w:type="pct"/>
          </w:tcPr>
          <w:p w:rsidR="00505AF1" w:rsidP="00505AF1" w:rsidRDefault="00505AF1" w14:paraId="55168B56" w14:textId="77777777">
            <w:pPr>
              <w:pStyle w:val="BodyText"/>
              <w:spacing w:after="120"/>
              <w:jc w:val="center"/>
            </w:pPr>
          </w:p>
        </w:tc>
        <w:tc>
          <w:tcPr>
            <w:tcW w:w="1951" w:type="pct"/>
          </w:tcPr>
          <w:p w:rsidR="00505AF1" w:rsidP="00505AF1" w:rsidRDefault="00505AF1" w14:paraId="5208A74B" w14:textId="6FDA73E7">
            <w:pPr>
              <w:pStyle w:val="BodyText"/>
            </w:pPr>
            <w:r>
              <w:t>(</w:t>
            </w:r>
            <w:r w:rsidRPr="00E47B30">
              <w:t xml:space="preserve">a) State the date, time and place of the meeting of security holders, and the complete mailing address, including ZIP Code, of the principal executive offices of the </w:t>
            </w:r>
            <w:r>
              <w:t>company</w:t>
            </w:r>
            <w:r w:rsidRPr="00E47B30">
              <w:t xml:space="preserve">, unless such information is otherwise disclosed in material furnished to security holders with or preceding the proxy statement. </w:t>
            </w:r>
          </w:p>
          <w:p w:rsidR="00505AF1" w:rsidP="00505AF1" w:rsidRDefault="00505AF1" w14:paraId="3106D412" w14:textId="77777777">
            <w:pPr>
              <w:pStyle w:val="BodyText"/>
            </w:pPr>
            <w:r w:rsidRPr="00E47B30">
              <w:t>If action is to be taken by written consent, state the date by which consents are to be submitted if state law requires that such a date be specified or if the person soliciting intends to set a date.</w:t>
            </w:r>
          </w:p>
          <w:p w:rsidRPr="00E47B30" w:rsidR="00505AF1" w:rsidP="00505AF1" w:rsidRDefault="00505AF1" w14:paraId="5CEC4B5D" w14:textId="47A5529E">
            <w:pPr>
              <w:pStyle w:val="BodyText"/>
            </w:pPr>
            <w:r w:rsidRPr="004F1A33">
              <w:rPr>
                <w:i/>
                <w:iCs/>
              </w:rPr>
              <w:t xml:space="preserve">Confirm that the meeting </w:t>
            </w:r>
            <w:r w:rsidR="00A73A28">
              <w:rPr>
                <w:i/>
                <w:iCs/>
              </w:rPr>
              <w:t>(</w:t>
            </w:r>
            <w:r w:rsidRPr="004F1A33">
              <w:rPr>
                <w:i/>
                <w:iCs/>
              </w:rPr>
              <w:t>or consent</w:t>
            </w:r>
            <w:r w:rsidR="00A73A28">
              <w:rPr>
                <w:i/>
                <w:iCs/>
              </w:rPr>
              <w:t>)</w:t>
            </w:r>
            <w:r w:rsidRPr="004F1A33">
              <w:rPr>
                <w:i/>
                <w:iCs/>
              </w:rPr>
              <w:t xml:space="preserve"> information is correct.</w:t>
            </w:r>
          </w:p>
        </w:tc>
        <w:tc>
          <w:tcPr>
            <w:tcW w:w="931" w:type="pct"/>
          </w:tcPr>
          <w:p w:rsidRPr="003011FF" w:rsidR="00505AF1" w:rsidP="00505AF1" w:rsidRDefault="00505AF1" w14:paraId="701428EA" w14:textId="77777777">
            <w:pPr>
              <w:pStyle w:val="BodyText"/>
              <w:rPr>
                <w:iCs/>
                <w:color w:val="000000"/>
                <w:szCs w:val="22"/>
              </w:rPr>
            </w:pPr>
          </w:p>
        </w:tc>
        <w:tc>
          <w:tcPr>
            <w:tcW w:w="561" w:type="pct"/>
          </w:tcPr>
          <w:p w:rsidRPr="007E0B55" w:rsidR="00505AF1" w:rsidP="00505AF1" w:rsidRDefault="00505AF1" w14:paraId="50729C0F" w14:textId="77777777">
            <w:pPr>
              <w:pStyle w:val="BodyText"/>
              <w:contextualSpacing/>
              <w:rPr>
                <w:sz w:val="20"/>
              </w:rPr>
            </w:pPr>
          </w:p>
        </w:tc>
        <w:tc>
          <w:tcPr>
            <w:tcW w:w="344" w:type="pct"/>
            <w:vAlign w:val="center"/>
          </w:tcPr>
          <w:p w:rsidRPr="00E47B30" w:rsidR="00505AF1" w:rsidP="00505AF1" w:rsidRDefault="00505AF1" w14:paraId="5562EF4D"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505AF1" w:rsidP="00505AF1" w:rsidRDefault="00505AF1" w14:paraId="57D9B973" w14:textId="4F834F8A">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505AF1" w:rsidTr="00E708F1" w14:paraId="6959D9AE" w14:textId="77777777">
        <w:trPr>
          <w:cantSplit/>
          <w:jc w:val="center"/>
        </w:trPr>
        <w:tc>
          <w:tcPr>
            <w:tcW w:w="690" w:type="pct"/>
          </w:tcPr>
          <w:p w:rsidRPr="00E47B30" w:rsidR="00505AF1" w:rsidP="00505AF1" w:rsidRDefault="00505AF1" w14:paraId="63C1955F" w14:textId="77777777">
            <w:pPr>
              <w:pStyle w:val="BodyText"/>
              <w:spacing w:after="120"/>
            </w:pPr>
          </w:p>
        </w:tc>
        <w:tc>
          <w:tcPr>
            <w:tcW w:w="523" w:type="pct"/>
          </w:tcPr>
          <w:p w:rsidRPr="00E47B30" w:rsidR="00505AF1" w:rsidP="00505AF1" w:rsidRDefault="00505AF1" w14:paraId="148C3CAC" w14:textId="77777777">
            <w:pPr>
              <w:pStyle w:val="BodyText"/>
              <w:spacing w:after="120"/>
              <w:jc w:val="center"/>
            </w:pPr>
          </w:p>
        </w:tc>
        <w:tc>
          <w:tcPr>
            <w:tcW w:w="1951" w:type="pct"/>
          </w:tcPr>
          <w:p w:rsidR="00505AF1" w:rsidP="00505AF1" w:rsidRDefault="00505AF1" w14:paraId="1E79549E" w14:textId="2A6D7FE0">
            <w:pPr>
              <w:pStyle w:val="BodyText"/>
            </w:pPr>
            <w:r>
              <w:t>(</w:t>
            </w:r>
            <w:r w:rsidRPr="00E47B30">
              <w:t>b) On the first page of the proxy statement, as delivered to security holders, state the approximate date on which the proxy statement and form of proxy are first sent or given to security holders.</w:t>
            </w:r>
            <w:r w:rsidRPr="00414307">
              <w:t xml:space="preserve"> </w:t>
            </w:r>
          </w:p>
          <w:p w:rsidR="00952FCF" w:rsidP="00952FCF" w:rsidRDefault="00952FCF" w14:paraId="45CF6FF1" w14:textId="70E00D2F">
            <w:pPr>
              <w:pStyle w:val="BodyText"/>
            </w:pPr>
            <w:r>
              <w:rPr>
                <w:iCs/>
                <w:color w:val="000000"/>
                <w:szCs w:val="22"/>
              </w:rPr>
              <w:t>T</w:t>
            </w:r>
            <w:r w:rsidRPr="00952FCF">
              <w:rPr>
                <w:iCs/>
                <w:color w:val="000000"/>
                <w:szCs w:val="22"/>
              </w:rPr>
              <w:t xml:space="preserve">his requirement applies to the proxy statement, not the letter </w:t>
            </w:r>
            <w:r>
              <w:rPr>
                <w:iCs/>
                <w:color w:val="000000"/>
                <w:szCs w:val="22"/>
              </w:rPr>
              <w:t xml:space="preserve">from the CEO/President </w:t>
            </w:r>
            <w:r w:rsidRPr="00952FCF">
              <w:rPr>
                <w:iCs/>
                <w:color w:val="000000"/>
                <w:szCs w:val="22"/>
              </w:rPr>
              <w:t>to security holders that typically precedes the proxy statement.</w:t>
            </w:r>
            <w:r w:rsidR="005E68D6">
              <w:rPr>
                <w:iCs/>
                <w:color w:val="000000"/>
                <w:szCs w:val="22"/>
              </w:rPr>
              <w:t xml:space="preserve"> </w:t>
            </w:r>
            <w:r w:rsidRPr="00952FCF">
              <w:rPr>
                <w:iCs/>
                <w:color w:val="000000"/>
                <w:szCs w:val="22"/>
              </w:rPr>
              <w:t>If the CEO</w:t>
            </w:r>
            <w:r w:rsidR="00113572">
              <w:rPr>
                <w:iCs/>
                <w:color w:val="000000"/>
                <w:szCs w:val="22"/>
              </w:rPr>
              <w:t>’</w:t>
            </w:r>
            <w:r w:rsidRPr="00952FCF">
              <w:rPr>
                <w:iCs/>
                <w:color w:val="000000"/>
                <w:szCs w:val="22"/>
              </w:rPr>
              <w:t xml:space="preserve">s letter includes this information, </w:t>
            </w:r>
            <w:r>
              <w:rPr>
                <w:iCs/>
                <w:color w:val="000000"/>
                <w:szCs w:val="22"/>
              </w:rPr>
              <w:t xml:space="preserve">SEC rules require that the company must </w:t>
            </w:r>
            <w:r w:rsidRPr="00952FCF">
              <w:rPr>
                <w:iCs/>
                <w:color w:val="000000"/>
                <w:szCs w:val="22"/>
              </w:rPr>
              <w:t xml:space="preserve">nevertheless </w:t>
            </w:r>
            <w:r>
              <w:rPr>
                <w:iCs/>
                <w:color w:val="000000"/>
                <w:szCs w:val="22"/>
              </w:rPr>
              <w:t xml:space="preserve">also state this disclosure </w:t>
            </w:r>
            <w:r w:rsidRPr="00952FCF">
              <w:rPr>
                <w:iCs/>
                <w:color w:val="000000"/>
                <w:szCs w:val="22"/>
              </w:rPr>
              <w:t>on the first page of the proxy statement.</w:t>
            </w:r>
          </w:p>
          <w:p w:rsidRPr="00433BA7" w:rsidR="00505AF1" w:rsidP="00505AF1" w:rsidRDefault="00505AF1" w14:paraId="6300602F" w14:textId="3CEAED34">
            <w:pPr>
              <w:pStyle w:val="BodyText"/>
              <w:rPr>
                <w:i/>
                <w:iCs/>
              </w:rPr>
            </w:pPr>
            <w:r w:rsidRPr="00433BA7">
              <w:rPr>
                <w:i/>
                <w:iCs/>
              </w:rPr>
              <w:t>Confirm that the correct date is shown on the first page of the proxy statement</w:t>
            </w:r>
            <w:r w:rsidR="00952FCF">
              <w:rPr>
                <w:i/>
                <w:iCs/>
              </w:rPr>
              <w:t>, even if also stated in a letter from the CEO/President to security holders.</w:t>
            </w:r>
          </w:p>
        </w:tc>
        <w:tc>
          <w:tcPr>
            <w:tcW w:w="931" w:type="pct"/>
          </w:tcPr>
          <w:p w:rsidRPr="00952FCF" w:rsidR="00505AF1" w:rsidP="00505AF1" w:rsidRDefault="00505AF1" w14:paraId="2076D2C7" w14:textId="14E72D59">
            <w:pPr>
              <w:pStyle w:val="BodyText"/>
              <w:rPr>
                <w:iCs/>
                <w:color w:val="000000"/>
                <w:szCs w:val="22"/>
              </w:rPr>
            </w:pPr>
          </w:p>
        </w:tc>
        <w:tc>
          <w:tcPr>
            <w:tcW w:w="561" w:type="pct"/>
          </w:tcPr>
          <w:p w:rsidRPr="007E0B55" w:rsidR="00505AF1" w:rsidP="00505AF1" w:rsidRDefault="00505AF1" w14:paraId="0980DEC2" w14:textId="77777777">
            <w:pPr>
              <w:pStyle w:val="BodyText"/>
              <w:contextualSpacing/>
              <w:rPr>
                <w:sz w:val="20"/>
              </w:rPr>
            </w:pPr>
          </w:p>
        </w:tc>
        <w:tc>
          <w:tcPr>
            <w:tcW w:w="344" w:type="pct"/>
            <w:vAlign w:val="center"/>
          </w:tcPr>
          <w:p w:rsidRPr="00E47B30" w:rsidR="00505AF1" w:rsidP="00505AF1" w:rsidRDefault="00505AF1" w14:paraId="3CF54516"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505AF1" w:rsidP="00505AF1" w:rsidRDefault="00505AF1" w14:paraId="2FEE7060" w14:textId="286820A7">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505AF1" w:rsidTr="00E708F1" w14:paraId="69DA66BC" w14:textId="77777777">
        <w:trPr>
          <w:cantSplit/>
          <w:jc w:val="center"/>
        </w:trPr>
        <w:tc>
          <w:tcPr>
            <w:tcW w:w="690" w:type="pct"/>
          </w:tcPr>
          <w:p w:rsidRPr="00E47B30" w:rsidR="00505AF1" w:rsidP="00505AF1" w:rsidRDefault="00505AF1" w14:paraId="6F4F7F06" w14:textId="77777777">
            <w:pPr>
              <w:pStyle w:val="BodyText"/>
              <w:spacing w:after="120"/>
            </w:pPr>
          </w:p>
        </w:tc>
        <w:tc>
          <w:tcPr>
            <w:tcW w:w="523" w:type="pct"/>
          </w:tcPr>
          <w:p w:rsidRPr="00E47B30" w:rsidR="00505AF1" w:rsidP="00505AF1" w:rsidRDefault="00505AF1" w14:paraId="57C8EABC" w14:textId="77777777">
            <w:pPr>
              <w:pStyle w:val="BodyText"/>
              <w:spacing w:after="120"/>
              <w:jc w:val="center"/>
            </w:pPr>
          </w:p>
        </w:tc>
        <w:tc>
          <w:tcPr>
            <w:tcW w:w="1951" w:type="pct"/>
          </w:tcPr>
          <w:p w:rsidR="00505AF1" w:rsidP="00505AF1" w:rsidRDefault="00505AF1" w14:paraId="020203D0" w14:textId="102A1F42">
            <w:pPr>
              <w:pStyle w:val="BodyText"/>
            </w:pPr>
            <w:r>
              <w:t>(</w:t>
            </w:r>
            <w:r w:rsidRPr="00E47B30">
              <w:t xml:space="preserve">c) Furnish the information required to be in the proxy statement by </w:t>
            </w:r>
            <w:hyperlink w:history="1" w:anchor="p-240.14a-5(e)" r:id="rId28">
              <w:r w:rsidRPr="00651453">
                <w:rPr>
                  <w:rStyle w:val="Hyperlink"/>
                </w:rPr>
                <w:t xml:space="preserve">Rule </w:t>
              </w:r>
              <w:proofErr w:type="spellStart"/>
              <w:r w:rsidRPr="00651453">
                <w:rPr>
                  <w:rStyle w:val="Hyperlink"/>
                </w:rPr>
                <w:t>14a</w:t>
              </w:r>
              <w:proofErr w:type="spellEnd"/>
              <w:r w:rsidRPr="00651453">
                <w:rPr>
                  <w:rStyle w:val="Hyperlink"/>
                </w:rPr>
                <w:t>-5(e)</w:t>
              </w:r>
            </w:hyperlink>
            <w:r>
              <w:t>:</w:t>
            </w:r>
          </w:p>
          <w:p w:rsidR="00505AF1" w:rsidP="00505AF1" w:rsidRDefault="00505AF1" w14:paraId="2E01E032" w14:textId="5D05949A">
            <w:pPr>
              <w:pStyle w:val="BodyText"/>
              <w:numPr>
                <w:ilvl w:val="0"/>
                <w:numId w:val="21"/>
              </w:numPr>
              <w:ind w:left="451"/>
            </w:pPr>
            <w:r>
              <w:t>The deadline for submitting shareholder proposals for inclusion in the company</w:t>
            </w:r>
            <w:r w:rsidR="00113572">
              <w:t>’</w:t>
            </w:r>
            <w:r>
              <w:t>s proxy statement and form of proxy for the company</w:t>
            </w:r>
            <w:r w:rsidR="00113572">
              <w:t>’</w:t>
            </w:r>
            <w:r>
              <w:t xml:space="preserve">s next annual meeting under Rule </w:t>
            </w:r>
            <w:proofErr w:type="spellStart"/>
            <w:r>
              <w:t>14a</w:t>
            </w:r>
            <w:proofErr w:type="spellEnd"/>
            <w:r>
              <w:t>-8.</w:t>
            </w:r>
          </w:p>
          <w:p w:rsidR="00505AF1" w:rsidP="00505AF1" w:rsidRDefault="00505AF1" w14:paraId="6E94A379" w14:textId="60811863">
            <w:pPr>
              <w:pStyle w:val="BodyText"/>
              <w:numPr>
                <w:ilvl w:val="0"/>
                <w:numId w:val="20"/>
              </w:numPr>
              <w:ind w:left="451"/>
            </w:pPr>
            <w:r>
              <w:t xml:space="preserve">The date after which notice of a shareholder proposal submitted outside the processes of Rule </w:t>
            </w:r>
            <w:proofErr w:type="spellStart"/>
            <w:r>
              <w:t>14a</w:t>
            </w:r>
            <w:proofErr w:type="spellEnd"/>
            <w:r>
              <w:t>-8 is considered untimely under either the company</w:t>
            </w:r>
            <w:r w:rsidR="00113572">
              <w:t>’</w:t>
            </w:r>
            <w:r>
              <w:t>s advance notice bylaw provision</w:t>
            </w:r>
            <w:r w:rsidR="007B243D">
              <w:t>s</w:t>
            </w:r>
            <w:r>
              <w:t xml:space="preserve"> or Rule </w:t>
            </w:r>
            <w:proofErr w:type="spellStart"/>
            <w:r>
              <w:t>14a</w:t>
            </w:r>
            <w:proofErr w:type="spellEnd"/>
            <w:r>
              <w:t>-4(c)(1).</w:t>
            </w:r>
          </w:p>
          <w:p w:rsidR="00505AF1" w:rsidP="00505AF1" w:rsidRDefault="00505AF1" w14:paraId="3D589716" w14:textId="5C9C445D">
            <w:pPr>
              <w:pStyle w:val="BodyText"/>
              <w:numPr>
                <w:ilvl w:val="0"/>
                <w:numId w:val="20"/>
              </w:numPr>
              <w:ind w:left="451"/>
            </w:pPr>
            <w:r>
              <w:t>The deadline for submitting nominees for inclusion in the company</w:t>
            </w:r>
            <w:r w:rsidR="00113572">
              <w:t>’</w:t>
            </w:r>
            <w:r>
              <w:t xml:space="preserve">s proxy statement and form of proxy pursuant to Rule </w:t>
            </w:r>
            <w:proofErr w:type="spellStart"/>
            <w:r>
              <w:t>14a</w:t>
            </w:r>
            <w:proofErr w:type="spellEnd"/>
            <w:r>
              <w:t>-11, an applicable state or foreign law provision, or a company</w:t>
            </w:r>
            <w:r w:rsidR="00113572">
              <w:t>’</w:t>
            </w:r>
            <w:r>
              <w:t>s governing documents as they relate to the inclusion of shareholder director nominees in the company</w:t>
            </w:r>
            <w:r w:rsidR="00113572">
              <w:t>’</w:t>
            </w:r>
            <w:r>
              <w:t>s proxy materials for the company</w:t>
            </w:r>
            <w:r w:rsidR="00113572">
              <w:t>’</w:t>
            </w:r>
            <w:r>
              <w:t>s next annual meeting of shareholders</w:t>
            </w:r>
            <w:r w:rsidR="007B243D">
              <w:t xml:space="preserve"> (aka </w:t>
            </w:r>
            <w:r w:rsidR="00113572">
              <w:t>“</w:t>
            </w:r>
            <w:r w:rsidR="007B243D">
              <w:t>proxy access</w:t>
            </w:r>
            <w:r w:rsidR="00113572">
              <w:t>”</w:t>
            </w:r>
            <w:r w:rsidR="007B243D">
              <w:t>)</w:t>
            </w:r>
            <w:r>
              <w:t>.</w:t>
            </w:r>
          </w:p>
          <w:p w:rsidRPr="003036D9" w:rsidR="00505AF1" w:rsidP="00505AF1" w:rsidRDefault="00505AF1" w14:paraId="263B5145" w14:textId="7FBAF7FC">
            <w:pPr>
              <w:pStyle w:val="BodyText"/>
              <w:numPr>
                <w:ilvl w:val="0"/>
                <w:numId w:val="20"/>
              </w:numPr>
              <w:ind w:left="451"/>
            </w:pPr>
            <w:r w:rsidRPr="003036D9">
              <w:t>The deadline for providing notice of a solicitation of proxies in support of director nominees other than the company</w:t>
            </w:r>
            <w:r w:rsidR="00113572">
              <w:t>’</w:t>
            </w:r>
            <w:r w:rsidRPr="003036D9">
              <w:t xml:space="preserve">s nominees pursuant to Rule </w:t>
            </w:r>
            <w:proofErr w:type="spellStart"/>
            <w:r w:rsidRPr="003036D9">
              <w:t>14a</w:t>
            </w:r>
            <w:proofErr w:type="spellEnd"/>
            <w:r w:rsidRPr="003036D9">
              <w:t>-19 for the company</w:t>
            </w:r>
            <w:r w:rsidR="00113572">
              <w:t>’</w:t>
            </w:r>
            <w:r w:rsidRPr="003036D9">
              <w:t>s next annual meeting.</w:t>
            </w:r>
          </w:p>
          <w:p w:rsidRPr="00E47B30" w:rsidR="00505AF1" w:rsidP="00505AF1" w:rsidRDefault="00505AF1" w14:paraId="51E21B51" w14:textId="0B7701DD">
            <w:pPr>
              <w:pStyle w:val="BodyText"/>
              <w:ind w:left="91"/>
            </w:pPr>
            <w:r>
              <w:rPr>
                <w:i/>
                <w:iCs/>
              </w:rPr>
              <w:t>Confirm that all of these dates are included and accurately calculated.</w:t>
            </w:r>
          </w:p>
        </w:tc>
        <w:tc>
          <w:tcPr>
            <w:tcW w:w="931" w:type="pct"/>
          </w:tcPr>
          <w:p w:rsidRPr="00414307" w:rsidR="00505AF1" w:rsidP="00505AF1" w:rsidRDefault="00505AF1" w14:paraId="6A3ED747" w14:textId="77777777">
            <w:pPr>
              <w:pStyle w:val="BodyText"/>
              <w:rPr>
                <w:iCs/>
                <w:color w:val="000000"/>
                <w:szCs w:val="22"/>
              </w:rPr>
            </w:pPr>
          </w:p>
        </w:tc>
        <w:tc>
          <w:tcPr>
            <w:tcW w:w="561" w:type="pct"/>
          </w:tcPr>
          <w:p w:rsidRPr="007E0B55" w:rsidR="00505AF1" w:rsidP="00505AF1" w:rsidRDefault="00505AF1" w14:paraId="07D5AB5E" w14:textId="77777777">
            <w:pPr>
              <w:pStyle w:val="BodyText"/>
              <w:contextualSpacing/>
              <w:rPr>
                <w:sz w:val="20"/>
              </w:rPr>
            </w:pPr>
          </w:p>
        </w:tc>
        <w:tc>
          <w:tcPr>
            <w:tcW w:w="344" w:type="pct"/>
            <w:vAlign w:val="center"/>
          </w:tcPr>
          <w:p w:rsidRPr="00E47B30" w:rsidR="00505AF1" w:rsidP="00505AF1" w:rsidRDefault="00505AF1" w14:paraId="64114D2A"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505AF1" w:rsidP="00505AF1" w:rsidRDefault="00505AF1" w14:paraId="2B1BF032" w14:textId="06CA4091">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A73A28" w:rsidTr="00E708F1" w14:paraId="39B42946" w14:textId="77777777">
        <w:trPr>
          <w:cantSplit/>
          <w:jc w:val="center"/>
        </w:trPr>
        <w:tc>
          <w:tcPr>
            <w:tcW w:w="5000" w:type="pct"/>
            <w:gridSpan w:val="6"/>
            <w:shd w:val="clear" w:color="auto" w:fill="D9D9D9" w:themeFill="background1" w:themeFillShade="D9"/>
          </w:tcPr>
          <w:p w:rsidRPr="00A73A28" w:rsidR="00A73A28" w:rsidP="00E708F1" w:rsidRDefault="00A73A28" w14:paraId="649B6D12" w14:textId="21EF852A">
            <w:pPr>
              <w:keepNext/>
              <w:spacing w:after="0"/>
              <w:rPr>
                <w:b/>
                <w:bCs/>
                <w:szCs w:val="22"/>
              </w:rPr>
            </w:pPr>
            <w:r>
              <w:rPr>
                <w:b/>
                <w:bCs/>
                <w:szCs w:val="22"/>
              </w:rPr>
              <w:lastRenderedPageBreak/>
              <w:t>Item 2.  Revocability of Proxy</w:t>
            </w:r>
          </w:p>
        </w:tc>
      </w:tr>
      <w:tr w:rsidRPr="00E47B30" w:rsidR="00505AF1" w:rsidTr="00E708F1" w14:paraId="1B692BD3" w14:textId="77777777">
        <w:trPr>
          <w:cantSplit/>
          <w:jc w:val="center"/>
        </w:trPr>
        <w:tc>
          <w:tcPr>
            <w:tcW w:w="690" w:type="pct"/>
          </w:tcPr>
          <w:p w:rsidRPr="00E47B30" w:rsidR="00505AF1" w:rsidP="00505AF1" w:rsidRDefault="00505AF1" w14:paraId="67490D0A" w14:textId="77777777">
            <w:pPr>
              <w:pStyle w:val="BodyText"/>
              <w:spacing w:after="120"/>
            </w:pPr>
            <w:r w:rsidRPr="00E47B30">
              <w:t>Item 2. Revocability of Proxy</w:t>
            </w:r>
          </w:p>
        </w:tc>
        <w:tc>
          <w:tcPr>
            <w:tcW w:w="523" w:type="pct"/>
          </w:tcPr>
          <w:p w:rsidRPr="00E47B30" w:rsidR="00505AF1" w:rsidP="00505AF1" w:rsidRDefault="00505AF1" w14:paraId="78862AD2" w14:textId="77777777">
            <w:pPr>
              <w:pStyle w:val="BodyText"/>
              <w:spacing w:after="120"/>
              <w:jc w:val="center"/>
            </w:pPr>
          </w:p>
        </w:tc>
        <w:tc>
          <w:tcPr>
            <w:tcW w:w="1951" w:type="pct"/>
          </w:tcPr>
          <w:p w:rsidR="00505AF1" w:rsidP="00505AF1" w:rsidRDefault="00505AF1" w14:paraId="30EE2D0F" w14:textId="77777777">
            <w:pPr>
              <w:pStyle w:val="BodyText"/>
            </w:pPr>
            <w:r w:rsidRPr="00E47B30">
              <w:t>State whether or not the person giving the proxy has the power to revoke it. If the right of revocation before the proxy is exercised is limited or is subject to compliance with any formal procedure, briefly describe such limitation or procedure.</w:t>
            </w:r>
          </w:p>
          <w:p w:rsidRPr="00433BA7" w:rsidR="00505AF1" w:rsidP="00505AF1" w:rsidRDefault="00505AF1" w14:paraId="4E25B399" w14:textId="5B46582F">
            <w:pPr>
              <w:pStyle w:val="BodyText"/>
              <w:rPr>
                <w:i/>
                <w:iCs/>
              </w:rPr>
            </w:pPr>
            <w:r>
              <w:rPr>
                <w:i/>
                <w:iCs/>
              </w:rPr>
              <w:t>Confirm that this disclosure is accurate.</w:t>
            </w:r>
          </w:p>
        </w:tc>
        <w:tc>
          <w:tcPr>
            <w:tcW w:w="931" w:type="pct"/>
          </w:tcPr>
          <w:p w:rsidRPr="00414307" w:rsidR="00505AF1" w:rsidP="00505AF1" w:rsidRDefault="00505AF1" w14:paraId="1767D16C" w14:textId="77777777">
            <w:pPr>
              <w:pStyle w:val="BodyText"/>
            </w:pPr>
          </w:p>
        </w:tc>
        <w:tc>
          <w:tcPr>
            <w:tcW w:w="561" w:type="pct"/>
          </w:tcPr>
          <w:p w:rsidRPr="007E0B55" w:rsidR="00505AF1" w:rsidP="00505AF1" w:rsidRDefault="00505AF1" w14:paraId="04D9D1BD" w14:textId="77777777">
            <w:pPr>
              <w:pStyle w:val="BodyText"/>
              <w:contextualSpacing/>
              <w:rPr>
                <w:sz w:val="20"/>
              </w:rPr>
            </w:pPr>
          </w:p>
        </w:tc>
        <w:tc>
          <w:tcPr>
            <w:tcW w:w="344" w:type="pct"/>
            <w:vAlign w:val="center"/>
          </w:tcPr>
          <w:p w:rsidRPr="00E47B30" w:rsidR="00505AF1" w:rsidP="00505AF1" w:rsidRDefault="00505AF1" w14:paraId="2ED2F0EF"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505AF1" w:rsidP="00505AF1" w:rsidRDefault="00505AF1" w14:paraId="334FE74C" w14:textId="6D71C921">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A73A28" w:rsidR="00A73A28" w:rsidTr="00651453" w14:paraId="2B6623C3" w14:textId="77777777">
        <w:trPr>
          <w:cantSplit/>
          <w:trHeight w:val="15"/>
          <w:jc w:val="center"/>
        </w:trPr>
        <w:tc>
          <w:tcPr>
            <w:tcW w:w="5000" w:type="pct"/>
            <w:gridSpan w:val="6"/>
            <w:shd w:val="clear" w:color="auto" w:fill="FFFFFF" w:themeFill="background1"/>
          </w:tcPr>
          <w:p w:rsidRPr="00651453" w:rsidR="00A73A28" w:rsidP="00A73A28" w:rsidRDefault="00A73A28" w14:paraId="749C4DEB" w14:textId="0CD8A09A">
            <w:pPr>
              <w:spacing w:after="0"/>
              <w:rPr>
                <w:szCs w:val="22"/>
              </w:rPr>
            </w:pPr>
            <w:r w:rsidRPr="00651453">
              <w:rPr>
                <w:szCs w:val="22"/>
              </w:rPr>
              <w:t xml:space="preserve">Item </w:t>
            </w:r>
            <w:r w:rsidR="00651453">
              <w:rPr>
                <w:szCs w:val="22"/>
              </w:rPr>
              <w:t xml:space="preserve">3, </w:t>
            </w:r>
            <w:r w:rsidRPr="00651453">
              <w:rPr>
                <w:szCs w:val="22"/>
              </w:rPr>
              <w:t>Dissenters</w:t>
            </w:r>
            <w:r w:rsidR="00113572">
              <w:rPr>
                <w:szCs w:val="22"/>
              </w:rPr>
              <w:t>’</w:t>
            </w:r>
            <w:r w:rsidRPr="00651453">
              <w:rPr>
                <w:szCs w:val="22"/>
              </w:rPr>
              <w:t xml:space="preserve"> Right of Appraisal</w:t>
            </w:r>
            <w:r w:rsidR="00651453">
              <w:rPr>
                <w:szCs w:val="22"/>
              </w:rPr>
              <w:t>, is omitted because it is not typically applicable to an annual meeting limited to the election of directors, ratification of the selection of the company</w:t>
            </w:r>
            <w:r w:rsidR="00113572">
              <w:rPr>
                <w:szCs w:val="22"/>
              </w:rPr>
              <w:t>’</w:t>
            </w:r>
            <w:r w:rsidR="00651453">
              <w:rPr>
                <w:szCs w:val="22"/>
              </w:rPr>
              <w:t>s auditor and say-on-pay and/or say-on-frequency votes.</w:t>
            </w:r>
          </w:p>
        </w:tc>
      </w:tr>
      <w:tr w:rsidRPr="00E47B30" w:rsidR="00A73A28" w:rsidTr="00E708F1" w14:paraId="6C7B2FCF" w14:textId="77777777">
        <w:trPr>
          <w:cantSplit/>
          <w:jc w:val="center"/>
        </w:trPr>
        <w:tc>
          <w:tcPr>
            <w:tcW w:w="5000" w:type="pct"/>
            <w:gridSpan w:val="6"/>
            <w:shd w:val="clear" w:color="auto" w:fill="D9D9D9" w:themeFill="background1" w:themeFillShade="D9"/>
          </w:tcPr>
          <w:p w:rsidRPr="00A73A28" w:rsidR="00A73A28" w:rsidP="00E708F1" w:rsidRDefault="00A73A28" w14:paraId="4E45F2AA" w14:textId="2C2AA140">
            <w:pPr>
              <w:keepNext/>
              <w:spacing w:after="0"/>
              <w:rPr>
                <w:b/>
                <w:bCs/>
                <w:szCs w:val="22"/>
              </w:rPr>
            </w:pPr>
            <w:r>
              <w:rPr>
                <w:b/>
                <w:bCs/>
                <w:szCs w:val="22"/>
              </w:rPr>
              <w:lastRenderedPageBreak/>
              <w:t>Item 4. Persons Making the Solicitation</w:t>
            </w:r>
          </w:p>
        </w:tc>
      </w:tr>
      <w:tr w:rsidRPr="00E47B30" w:rsidR="00505AF1" w:rsidTr="00E708F1" w14:paraId="6D9A41CB" w14:textId="77777777">
        <w:trPr>
          <w:cantSplit/>
          <w:jc w:val="center"/>
        </w:trPr>
        <w:tc>
          <w:tcPr>
            <w:tcW w:w="690" w:type="pct"/>
          </w:tcPr>
          <w:p w:rsidRPr="00E47B30" w:rsidR="00505AF1" w:rsidP="00505AF1" w:rsidRDefault="00505AF1" w14:paraId="14E3CEC9" w14:textId="657855BB">
            <w:pPr>
              <w:pStyle w:val="BodyText"/>
              <w:spacing w:after="120"/>
            </w:pPr>
            <w:r w:rsidRPr="00E47B30">
              <w:t>Item 4. Persons Making the Solicitation</w:t>
            </w:r>
          </w:p>
        </w:tc>
        <w:tc>
          <w:tcPr>
            <w:tcW w:w="523" w:type="pct"/>
          </w:tcPr>
          <w:p w:rsidRPr="00E47B30" w:rsidR="00505AF1" w:rsidP="00505AF1" w:rsidRDefault="00505AF1" w14:paraId="0280A3EE" w14:textId="77777777">
            <w:pPr>
              <w:pStyle w:val="BodyText"/>
              <w:spacing w:after="120"/>
              <w:jc w:val="center"/>
            </w:pPr>
          </w:p>
        </w:tc>
        <w:tc>
          <w:tcPr>
            <w:tcW w:w="1951" w:type="pct"/>
          </w:tcPr>
          <w:p w:rsidR="00505AF1" w:rsidP="00505AF1" w:rsidRDefault="00505AF1" w14:paraId="238775F0" w14:textId="0D5FA39C">
            <w:pPr>
              <w:pStyle w:val="BodyText"/>
            </w:pPr>
            <w:r w:rsidRPr="00E47B30">
              <w:t xml:space="preserve">(a) Solicitations </w:t>
            </w:r>
            <w:r w:rsidRPr="00042624">
              <w:rPr>
                <w:u w:val="single"/>
              </w:rPr>
              <w:t>not</w:t>
            </w:r>
            <w:r w:rsidRPr="00E47B30">
              <w:t xml:space="preserve"> subject to Rule </w:t>
            </w:r>
            <w:proofErr w:type="spellStart"/>
            <w:r w:rsidRPr="00E47B30">
              <w:t>14a</w:t>
            </w:r>
            <w:proofErr w:type="spellEnd"/>
            <w:r w:rsidRPr="00E47B30">
              <w:t>-12(c)</w:t>
            </w:r>
            <w:r w:rsidR="00E868E6">
              <w:t xml:space="preserve"> (</w:t>
            </w:r>
            <w:r w:rsidR="00E868E6">
              <w:rPr>
                <w:i/>
                <w:iCs/>
              </w:rPr>
              <w:t>i.e.,</w:t>
            </w:r>
            <w:r w:rsidR="00E868E6">
              <w:t xml:space="preserve"> solicitations by any person or group for the purpose of opposing a solicitation by any other person or group with respect to the election or removal of directors at any annual or special meeting of security holders):</w:t>
            </w:r>
          </w:p>
          <w:p w:rsidRPr="00E47B30" w:rsidR="00505AF1" w:rsidP="00505AF1" w:rsidRDefault="00505AF1" w14:paraId="41103CC4" w14:textId="7D260F71">
            <w:pPr>
              <w:pStyle w:val="BodyText"/>
            </w:pPr>
            <w:r w:rsidRPr="00E47B30">
              <w:t xml:space="preserve">(1) If the solicitation is made by the </w:t>
            </w:r>
            <w:r>
              <w:t>company</w:t>
            </w:r>
            <w:r w:rsidRPr="00E47B30">
              <w:t xml:space="preserve">, so state. Give the name of any director of the </w:t>
            </w:r>
            <w:r>
              <w:t>company</w:t>
            </w:r>
            <w:r w:rsidRPr="00E47B30">
              <w:t xml:space="preserve"> who has informed the </w:t>
            </w:r>
            <w:r>
              <w:t>company</w:t>
            </w:r>
            <w:r w:rsidRPr="00E47B30">
              <w:t xml:space="preserve"> in writing that he intends to oppose any action intended to be taken by the </w:t>
            </w:r>
            <w:r>
              <w:t>company</w:t>
            </w:r>
            <w:r w:rsidRPr="00E47B30">
              <w:t xml:space="preserve"> and indicate the action which he intends to oppose. </w:t>
            </w:r>
          </w:p>
          <w:p w:rsidRPr="00E47B30" w:rsidR="00505AF1" w:rsidP="00505AF1" w:rsidRDefault="00505AF1" w14:paraId="12201D1B" w14:textId="382B621B">
            <w:pPr>
              <w:pStyle w:val="BodyText"/>
            </w:pPr>
            <w:r w:rsidRPr="00E47B30">
              <w:t xml:space="preserve">(2) If the solicitation is made otherwise than by the </w:t>
            </w:r>
            <w:r>
              <w:t>company</w:t>
            </w:r>
            <w:r w:rsidRPr="00E47B30">
              <w:t xml:space="preserve">, so state and give the names of the participants in the solicitation, as defined in paragraphs (a) (iii), (iv), (v) and (vi) of Instruction 3 to this Item. </w:t>
            </w:r>
          </w:p>
          <w:p w:rsidRPr="00E47B30" w:rsidR="00505AF1" w:rsidP="00505AF1" w:rsidRDefault="00505AF1" w14:paraId="7FED6CC6" w14:textId="1E632BE2">
            <w:pPr>
              <w:pStyle w:val="BodyText"/>
            </w:pPr>
            <w:r w:rsidRPr="00E47B30">
              <w:t xml:space="preserve">(3) If the solicitation is to be made otherwise than by the use of the mails or pursuant to </w:t>
            </w:r>
            <w:r>
              <w:t xml:space="preserve">Rule </w:t>
            </w:r>
            <w:proofErr w:type="spellStart"/>
            <w:r w:rsidRPr="00E47B30">
              <w:t>14a</w:t>
            </w:r>
            <w:proofErr w:type="spellEnd"/>
            <w:r w:rsidRPr="00E47B30">
              <w:t>-16, describe the methods to be employed. If the solicitation is to be made by specially</w:t>
            </w:r>
            <w:r>
              <w:t xml:space="preserve"> </w:t>
            </w:r>
            <w:r w:rsidRPr="00E47B30">
              <w:t>engaged employees or paid solicitors, state (</w:t>
            </w:r>
            <w:proofErr w:type="spellStart"/>
            <w:r w:rsidRPr="00E47B30">
              <w:t>i</w:t>
            </w:r>
            <w:proofErr w:type="spellEnd"/>
            <w:r w:rsidRPr="00E47B30">
              <w:t xml:space="preserve">) the material features of any contract or arrangement for such solicitation and identify the parties, and (ii) the cost or anticipated cost thereof. </w:t>
            </w:r>
          </w:p>
          <w:p w:rsidR="00505AF1" w:rsidP="00505AF1" w:rsidRDefault="00505AF1" w14:paraId="0DB93DB9" w14:textId="77777777">
            <w:pPr>
              <w:pStyle w:val="BodyText"/>
            </w:pPr>
            <w:r w:rsidRPr="00E47B30">
              <w:t>(4) State the names of the persons by whom the cost of solicitation has been or will be borne, directly or indirectly.</w:t>
            </w:r>
          </w:p>
          <w:p w:rsidRPr="00FD0331" w:rsidR="00505AF1" w:rsidP="00505AF1" w:rsidRDefault="00505AF1" w14:paraId="1C1D89B3" w14:textId="7FE1ECDC">
            <w:pPr>
              <w:pStyle w:val="BodyText"/>
              <w:rPr>
                <w:i/>
                <w:iCs/>
              </w:rPr>
            </w:pPr>
            <w:r>
              <w:rPr>
                <w:i/>
                <w:iCs/>
              </w:rPr>
              <w:t xml:space="preserve">Confirm that this disclosure is </w:t>
            </w:r>
            <w:r w:rsidR="00BD65B3">
              <w:rPr>
                <w:i/>
                <w:iCs/>
              </w:rPr>
              <w:t>accurate.</w:t>
            </w:r>
          </w:p>
        </w:tc>
        <w:tc>
          <w:tcPr>
            <w:tcW w:w="931" w:type="pct"/>
          </w:tcPr>
          <w:p w:rsidRPr="00414307" w:rsidR="00505AF1" w:rsidP="00505AF1" w:rsidRDefault="00633DB7" w14:paraId="34386043" w14:textId="05AB5A38">
            <w:pPr>
              <w:pStyle w:val="BodyText"/>
            </w:pPr>
            <w:r>
              <w:t>If a proxy solicitor has been retained, disclosure is required of the amount of fees paid to the solicitor and any material features of the contract with the solicitor.</w:t>
            </w:r>
            <w:r w:rsidR="00CF3580">
              <w:t xml:space="preserve"> </w:t>
            </w:r>
            <w:r>
              <w:t>Because most contracts with proxy solicitors include an indemnification provision, this term should be disclosed.</w:t>
            </w:r>
          </w:p>
        </w:tc>
        <w:tc>
          <w:tcPr>
            <w:tcW w:w="561" w:type="pct"/>
          </w:tcPr>
          <w:p w:rsidRPr="007E0B55" w:rsidR="00505AF1" w:rsidP="00505AF1" w:rsidRDefault="00505AF1" w14:paraId="71D1B8B6" w14:textId="77777777">
            <w:pPr>
              <w:pStyle w:val="BodyText"/>
              <w:contextualSpacing/>
              <w:rPr>
                <w:sz w:val="20"/>
              </w:rPr>
            </w:pPr>
          </w:p>
        </w:tc>
        <w:tc>
          <w:tcPr>
            <w:tcW w:w="344" w:type="pct"/>
            <w:vAlign w:val="center"/>
          </w:tcPr>
          <w:p w:rsidRPr="00E47B30" w:rsidR="00505AF1" w:rsidP="00505AF1" w:rsidRDefault="00505AF1" w14:paraId="413CA853"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505AF1" w:rsidP="00C25860" w:rsidRDefault="00505AF1" w14:paraId="15A81E2C" w14:textId="4F125D4E">
            <w:pPr>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A73A28" w:rsidTr="00E708F1" w14:paraId="7594F6FE" w14:textId="77777777">
        <w:trPr>
          <w:cantSplit/>
          <w:jc w:val="center"/>
        </w:trPr>
        <w:tc>
          <w:tcPr>
            <w:tcW w:w="5000" w:type="pct"/>
            <w:gridSpan w:val="6"/>
            <w:shd w:val="clear" w:color="auto" w:fill="D9D9D9" w:themeFill="background1" w:themeFillShade="D9"/>
          </w:tcPr>
          <w:p w:rsidRPr="00A73A28" w:rsidR="00A73A28" w:rsidP="00A73A28" w:rsidRDefault="00A73A28" w14:paraId="662D5EA6" w14:textId="26A036FE">
            <w:pPr>
              <w:spacing w:after="0"/>
              <w:rPr>
                <w:b/>
                <w:bCs/>
                <w:szCs w:val="22"/>
              </w:rPr>
            </w:pPr>
            <w:r>
              <w:rPr>
                <w:b/>
                <w:bCs/>
                <w:szCs w:val="22"/>
              </w:rPr>
              <w:t>Item 5. Interests of Certain Person in Matters to be Acted Upon</w:t>
            </w:r>
          </w:p>
        </w:tc>
      </w:tr>
      <w:tr w:rsidRPr="00E47B30" w:rsidR="00722BC6" w:rsidTr="00E708F1" w14:paraId="204F5D2B" w14:textId="77777777">
        <w:trPr>
          <w:cantSplit/>
          <w:jc w:val="center"/>
        </w:trPr>
        <w:tc>
          <w:tcPr>
            <w:tcW w:w="690" w:type="pct"/>
          </w:tcPr>
          <w:p w:rsidRPr="00E47B30" w:rsidR="00722BC6" w:rsidP="00722BC6" w:rsidRDefault="00722BC6" w14:paraId="332DC02D" w14:textId="6C6586B6">
            <w:pPr>
              <w:pStyle w:val="BodyText"/>
              <w:spacing w:after="120"/>
            </w:pPr>
            <w:r w:rsidRPr="00E47B30">
              <w:lastRenderedPageBreak/>
              <w:t xml:space="preserve">Item 5. Interests of Certain Persons in Matters to </w:t>
            </w:r>
            <w:r w:rsidR="00A73A28">
              <w:t>b</w:t>
            </w:r>
            <w:r w:rsidRPr="00E47B30">
              <w:t>e Acted Upon</w:t>
            </w:r>
          </w:p>
        </w:tc>
        <w:tc>
          <w:tcPr>
            <w:tcW w:w="523" w:type="pct"/>
          </w:tcPr>
          <w:p w:rsidRPr="00E47B30" w:rsidR="00722BC6" w:rsidP="00722BC6" w:rsidRDefault="00722BC6" w14:paraId="7D32454D" w14:textId="77777777">
            <w:pPr>
              <w:pStyle w:val="BodyText"/>
              <w:spacing w:after="120"/>
              <w:jc w:val="center"/>
            </w:pPr>
          </w:p>
        </w:tc>
        <w:tc>
          <w:tcPr>
            <w:tcW w:w="1951" w:type="pct"/>
          </w:tcPr>
          <w:p w:rsidRPr="00E868E6" w:rsidR="00722BC6" w:rsidP="00722BC6" w:rsidRDefault="00722BC6" w14:paraId="5BC626A6" w14:textId="56621F82">
            <w:pPr>
              <w:pStyle w:val="BodyText"/>
            </w:pPr>
            <w:r w:rsidRPr="00E868E6">
              <w:t xml:space="preserve">(a) Solicitations </w:t>
            </w:r>
            <w:r w:rsidRPr="00E868E6">
              <w:rPr>
                <w:u w:val="single"/>
              </w:rPr>
              <w:t>not</w:t>
            </w:r>
            <w:r w:rsidRPr="00E868E6">
              <w:t xml:space="preserve"> subject to Rule </w:t>
            </w:r>
            <w:proofErr w:type="spellStart"/>
            <w:r w:rsidRPr="00E868E6">
              <w:t>14a</w:t>
            </w:r>
            <w:proofErr w:type="spellEnd"/>
            <w:r w:rsidRPr="00E868E6">
              <w:t>-12(c) (</w:t>
            </w:r>
            <w:r w:rsidRPr="00E868E6">
              <w:rPr>
                <w:i/>
                <w:iCs/>
              </w:rPr>
              <w:t>i.e.,</w:t>
            </w:r>
            <w:r w:rsidRPr="00E868E6">
              <w:t xml:space="preserve"> solicitations by a</w:t>
            </w:r>
            <w:r>
              <w:t>n</w:t>
            </w:r>
            <w:r w:rsidRPr="00E868E6">
              <w:t>y person or group for the purpose of opposing a solicitation by any other person or group with respect to the election or removal of directors at any annual or special meeting of security holders):</w:t>
            </w:r>
          </w:p>
          <w:p w:rsidRPr="00E47B30" w:rsidR="00722BC6" w:rsidP="00722BC6" w:rsidRDefault="00722BC6" w14:paraId="6EA26B6D" w14:textId="78AC1BA8">
            <w:pPr>
              <w:pStyle w:val="BodyText"/>
            </w:pPr>
            <w:r w:rsidRPr="00E47B30">
              <w:t>Describe briefly any substantial interest, direct or indirect, by security holdings or otherwise, of each of the following persons in any matter to be acted upon, other than elections to office</w:t>
            </w:r>
            <w:r w:rsidR="00081BB3">
              <w:t xml:space="preserve">:  </w:t>
            </w:r>
          </w:p>
          <w:p w:rsidRPr="00E47B30" w:rsidR="00722BC6" w:rsidP="00722BC6" w:rsidRDefault="00722BC6" w14:paraId="6AE24F0C" w14:textId="2E63BB00">
            <w:pPr>
              <w:pStyle w:val="BodyText"/>
              <w:ind w:left="331" w:hanging="270"/>
            </w:pPr>
            <w:r w:rsidRPr="00E47B30">
              <w:t xml:space="preserve">(1) If the solicitation is made on behalf of the </w:t>
            </w:r>
            <w:r>
              <w:t>company</w:t>
            </w:r>
            <w:r w:rsidRPr="00E47B30">
              <w:t xml:space="preserve">, each person who has been a director or executive officer of the </w:t>
            </w:r>
            <w:r>
              <w:t>company</w:t>
            </w:r>
            <w:r w:rsidRPr="00E47B30">
              <w:t xml:space="preserve"> at any time since the beginning of the last fiscal year. </w:t>
            </w:r>
          </w:p>
          <w:p w:rsidRPr="00E47B30" w:rsidR="00722BC6" w:rsidP="00722BC6" w:rsidRDefault="00722BC6" w14:paraId="114F3A56" w14:textId="4309B85B">
            <w:pPr>
              <w:pStyle w:val="BodyText"/>
              <w:ind w:left="331" w:hanging="270"/>
            </w:pPr>
            <w:r w:rsidRPr="00E47B30">
              <w:t xml:space="preserve">(2) If the solicitation is made otherwise than on behalf of the </w:t>
            </w:r>
            <w:r>
              <w:t>company</w:t>
            </w:r>
            <w:r w:rsidRPr="00E47B30">
              <w:t xml:space="preserve">, each participant in the solicitation, as defined in paragraphs (a) (iii), (iv), (v), and (vi) of Instruction 3 to Item 4 of this Schedule 14A. </w:t>
            </w:r>
          </w:p>
          <w:p w:rsidRPr="00E47B30" w:rsidR="00722BC6" w:rsidP="00722BC6" w:rsidRDefault="00722BC6" w14:paraId="1E6A623A" w14:textId="66F24E3A">
            <w:pPr>
              <w:pStyle w:val="BodyText"/>
              <w:ind w:left="331" w:hanging="270"/>
            </w:pPr>
            <w:r w:rsidRPr="00E47B30">
              <w:t xml:space="preserve">(3) Each nominee for election as a director of the </w:t>
            </w:r>
            <w:r>
              <w:t>company</w:t>
            </w:r>
            <w:r w:rsidRPr="00E47B30">
              <w:t xml:space="preserve">. </w:t>
            </w:r>
          </w:p>
          <w:p w:rsidRPr="00E47B30" w:rsidR="00722BC6" w:rsidP="00722BC6" w:rsidRDefault="00722BC6" w14:paraId="2D93B980" w14:textId="77777777">
            <w:pPr>
              <w:pStyle w:val="BodyText"/>
              <w:ind w:left="331" w:hanging="270"/>
            </w:pPr>
            <w:r w:rsidRPr="00E47B30">
              <w:t xml:space="preserve">(4) Each associate of any of the foregoing persons. </w:t>
            </w:r>
          </w:p>
          <w:p w:rsidR="00722BC6" w:rsidP="00722BC6" w:rsidRDefault="00722BC6" w14:paraId="07904237" w14:textId="36D12F94">
            <w:pPr>
              <w:pStyle w:val="BodyText"/>
              <w:ind w:left="331" w:hanging="270"/>
            </w:pPr>
            <w:r w:rsidRPr="00E47B30">
              <w:t xml:space="preserve">(5) If the solicitation is made on behalf of the </w:t>
            </w:r>
            <w:r>
              <w:t>company</w:t>
            </w:r>
            <w:r w:rsidRPr="00E47B30">
              <w:t xml:space="preserve">, furnish the information required by </w:t>
            </w:r>
            <w:hyperlink w:history="1" w:anchor="229.402" r:id="rId29">
              <w:r w:rsidRPr="00C826D3">
                <w:rPr>
                  <w:rStyle w:val="Hyperlink"/>
                </w:rPr>
                <w:t>Item 402(t) of Regulation S-K.</w:t>
              </w:r>
            </w:hyperlink>
          </w:p>
          <w:p w:rsidRPr="00BD65B3" w:rsidR="00722BC6" w:rsidP="00722BC6" w:rsidRDefault="00722BC6" w14:paraId="0C999BB4" w14:textId="6CD9CB39">
            <w:pPr>
              <w:pStyle w:val="BodyText"/>
              <w:ind w:left="331" w:hanging="270"/>
              <w:rPr>
                <w:i/>
                <w:iCs/>
              </w:rPr>
            </w:pPr>
            <w:r>
              <w:rPr>
                <w:i/>
                <w:iCs/>
              </w:rPr>
              <w:t>Confirm that this disclosure is accurate.</w:t>
            </w:r>
          </w:p>
        </w:tc>
        <w:tc>
          <w:tcPr>
            <w:tcW w:w="931" w:type="pct"/>
          </w:tcPr>
          <w:p w:rsidR="00722BC6" w:rsidP="00722BC6" w:rsidRDefault="00722BC6" w14:paraId="332C3140" w14:textId="5229ADF8">
            <w:pPr>
              <w:pStyle w:val="BodyText"/>
            </w:pPr>
            <w:r w:rsidRPr="00414307">
              <w:t xml:space="preserve">Except in the case of a solicitation made in opposition to another solicitation, </w:t>
            </w:r>
            <w:r w:rsidR="00124415">
              <w:t>Item 5</w:t>
            </w:r>
            <w:r w:rsidRPr="00414307">
              <w:t xml:space="preserve">(a) shall not apply to any interest arising from the ownership of securities of the </w:t>
            </w:r>
            <w:r>
              <w:t>company</w:t>
            </w:r>
            <w:r w:rsidRPr="00414307">
              <w:t xml:space="preserve"> where the security holder receives no extra or special benefit not shared on a pro rata basis by all other holders of the same class.</w:t>
            </w:r>
          </w:p>
          <w:p w:rsidRPr="00414307" w:rsidR="00D64203" w:rsidP="00722BC6" w:rsidRDefault="00D64203" w14:paraId="7BF6FE43" w14:textId="2C5910E6">
            <w:pPr>
              <w:pStyle w:val="BodyText"/>
            </w:pPr>
            <w:r>
              <w:t>It is unlikely that Item 402(t) golden parachute disclosure will be required in an annual meeting proxy statement.</w:t>
            </w:r>
          </w:p>
        </w:tc>
        <w:tc>
          <w:tcPr>
            <w:tcW w:w="561" w:type="pct"/>
          </w:tcPr>
          <w:p w:rsidRPr="007E0B55" w:rsidR="00722BC6" w:rsidP="00722BC6" w:rsidRDefault="00722BC6" w14:paraId="4D85412E" w14:textId="77777777">
            <w:pPr>
              <w:pStyle w:val="BodyText"/>
              <w:contextualSpacing/>
              <w:rPr>
                <w:sz w:val="20"/>
              </w:rPr>
            </w:pPr>
          </w:p>
        </w:tc>
        <w:tc>
          <w:tcPr>
            <w:tcW w:w="344" w:type="pct"/>
            <w:vAlign w:val="center"/>
          </w:tcPr>
          <w:p w:rsidRPr="00E47B30" w:rsidR="00722BC6" w:rsidP="00722BC6" w:rsidRDefault="00722BC6" w14:paraId="513660FE"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722BC6" w:rsidP="00722BC6" w:rsidRDefault="00722BC6" w14:paraId="0C2270D5" w14:textId="2E33D846">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6E6671" w:rsidTr="00E708F1" w14:paraId="317874F3" w14:textId="77777777">
        <w:trPr>
          <w:cantSplit/>
          <w:jc w:val="center"/>
        </w:trPr>
        <w:tc>
          <w:tcPr>
            <w:tcW w:w="5000" w:type="pct"/>
            <w:gridSpan w:val="6"/>
            <w:shd w:val="clear" w:color="auto" w:fill="D9D9D9" w:themeFill="background1" w:themeFillShade="D9"/>
          </w:tcPr>
          <w:p w:rsidRPr="006E6671" w:rsidR="006E6671" w:rsidP="00E708F1" w:rsidRDefault="006E6671" w14:paraId="1E6C07EB" w14:textId="0811B1DA">
            <w:pPr>
              <w:keepNext/>
              <w:spacing w:after="0"/>
              <w:rPr>
                <w:b/>
                <w:bCs/>
                <w:szCs w:val="22"/>
              </w:rPr>
            </w:pPr>
            <w:r>
              <w:rPr>
                <w:b/>
                <w:bCs/>
                <w:szCs w:val="22"/>
              </w:rPr>
              <w:lastRenderedPageBreak/>
              <w:t>Item 6.  Voting Securities and Principal Holders Thereof</w:t>
            </w:r>
          </w:p>
        </w:tc>
      </w:tr>
      <w:tr w:rsidRPr="00E47B30" w:rsidR="00722BC6" w:rsidTr="00E708F1" w14:paraId="31564B58" w14:textId="77777777">
        <w:trPr>
          <w:cantSplit/>
          <w:jc w:val="center"/>
        </w:trPr>
        <w:tc>
          <w:tcPr>
            <w:tcW w:w="690" w:type="pct"/>
            <w:shd w:val="clear" w:color="auto" w:fill="auto"/>
          </w:tcPr>
          <w:p w:rsidRPr="00E47B30" w:rsidR="00722BC6" w:rsidP="00722BC6" w:rsidRDefault="00722BC6" w14:paraId="248A2E56" w14:textId="77777777">
            <w:pPr>
              <w:pStyle w:val="BodyText"/>
              <w:spacing w:after="120"/>
            </w:pPr>
            <w:r w:rsidRPr="00E47B30">
              <w:t>Item 6. Voting Securities and Principal Holders Thereof</w:t>
            </w:r>
          </w:p>
          <w:p w:rsidRPr="00E47B30" w:rsidR="00722BC6" w:rsidP="00722BC6" w:rsidRDefault="00722BC6" w14:paraId="2CB93EF5" w14:textId="5006DFB8">
            <w:pPr>
              <w:tabs>
                <w:tab w:val="left" w:pos="2460"/>
              </w:tabs>
            </w:pPr>
          </w:p>
        </w:tc>
        <w:tc>
          <w:tcPr>
            <w:tcW w:w="523" w:type="pct"/>
            <w:shd w:val="clear" w:color="auto" w:fill="auto"/>
          </w:tcPr>
          <w:p w:rsidRPr="00E47B30" w:rsidR="00722BC6" w:rsidP="00722BC6" w:rsidRDefault="000D00E3" w14:paraId="59B0F56C" w14:textId="4E7CA225">
            <w:pPr>
              <w:pStyle w:val="BodyText"/>
              <w:spacing w:after="120"/>
              <w:jc w:val="center"/>
            </w:pPr>
            <w:hyperlink w:history="1" w:anchor="p-229.403(a)" r:id="rId30">
              <w:r w:rsidRPr="00E47B30" w:rsidR="00722BC6">
                <w:rPr>
                  <w:rStyle w:val="Hyperlink"/>
                </w:rPr>
                <w:t>S-K Item 403</w:t>
              </w:r>
            </w:hyperlink>
          </w:p>
        </w:tc>
        <w:tc>
          <w:tcPr>
            <w:tcW w:w="1951" w:type="pct"/>
            <w:shd w:val="clear" w:color="auto" w:fill="auto"/>
          </w:tcPr>
          <w:p w:rsidR="00722BC6" w:rsidP="00722BC6" w:rsidRDefault="00722BC6" w14:paraId="2329884B" w14:textId="6678FDB2">
            <w:pPr>
              <w:pStyle w:val="BodyText"/>
            </w:pPr>
            <w:r w:rsidRPr="00E47B30">
              <w:t xml:space="preserve">(a) As to each class of voting securities of the </w:t>
            </w:r>
            <w:r>
              <w:t>company</w:t>
            </w:r>
            <w:r w:rsidRPr="00E47B30">
              <w:t xml:space="preserve"> entitled to be voted at the meeting (or by written consents or authorizations if no meeting is held), state the number of shares outstanding and the number of votes to which each class is entitled.</w:t>
            </w:r>
          </w:p>
          <w:p w:rsidR="006E6671" w:rsidP="006E6671" w:rsidRDefault="006E6671" w14:paraId="6100E396" w14:textId="77777777">
            <w:pPr>
              <w:pStyle w:val="BodyText"/>
            </w:pPr>
            <w:r w:rsidRPr="00E47B30">
              <w:t>SEC rules require companies to indicate (in a footnote to the beneficial ownership table or in another manner) the number of shares that are held in margin accounts or pledged or otherwise available to a lender as security by executive officers and directors.</w:t>
            </w:r>
          </w:p>
          <w:p w:rsidRPr="006E6671" w:rsidR="00722BC6" w:rsidP="006E6671" w:rsidRDefault="006E6671" w14:paraId="14E48658" w14:textId="343E9C59">
            <w:pPr>
              <w:pStyle w:val="BodyText"/>
            </w:pPr>
            <w:r>
              <w:rPr>
                <w:i/>
                <w:iCs/>
              </w:rPr>
              <w:t>Confirm that this disclosure is accurate.</w:t>
            </w:r>
          </w:p>
        </w:tc>
        <w:tc>
          <w:tcPr>
            <w:tcW w:w="931" w:type="pct"/>
          </w:tcPr>
          <w:p w:rsidRPr="00414307" w:rsidR="00722BC6" w:rsidP="00722BC6" w:rsidRDefault="004F0E6E" w14:paraId="1E029498" w14:textId="048946E0">
            <w:pPr>
              <w:pStyle w:val="BodyText"/>
            </w:pPr>
            <w:r>
              <w:t>Note that this information will need to be obtained from the transfer agent. The transfer agent can typically not obtain this information until the next business day, so it is essential to build that into the timeline when the record date is close to the filing date of the definitive proxy statement.</w:t>
            </w:r>
          </w:p>
        </w:tc>
        <w:tc>
          <w:tcPr>
            <w:tcW w:w="561" w:type="pct"/>
          </w:tcPr>
          <w:p w:rsidRPr="007E0B55" w:rsidR="00722BC6" w:rsidP="00722BC6" w:rsidRDefault="00722BC6" w14:paraId="640B4EA7" w14:textId="77777777">
            <w:pPr>
              <w:pStyle w:val="BodyText"/>
              <w:contextualSpacing/>
              <w:rPr>
                <w:sz w:val="20"/>
              </w:rPr>
            </w:pPr>
          </w:p>
        </w:tc>
        <w:tc>
          <w:tcPr>
            <w:tcW w:w="344" w:type="pct"/>
            <w:vAlign w:val="center"/>
          </w:tcPr>
          <w:p w:rsidRPr="00E47B30" w:rsidR="00722BC6" w:rsidP="00722BC6" w:rsidRDefault="00722BC6" w14:paraId="727DDC06"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722BC6" w:rsidP="00722BC6" w:rsidRDefault="00722BC6" w14:paraId="20D548CB" w14:textId="616EC15F">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6E6671" w:rsidTr="00E708F1" w14:paraId="3E7FF30E" w14:textId="77777777">
        <w:trPr>
          <w:cantSplit/>
          <w:jc w:val="center"/>
        </w:trPr>
        <w:tc>
          <w:tcPr>
            <w:tcW w:w="690" w:type="pct"/>
            <w:shd w:val="clear" w:color="auto" w:fill="auto"/>
          </w:tcPr>
          <w:p w:rsidRPr="00E47B30" w:rsidR="006E6671" w:rsidP="006E6671" w:rsidRDefault="006E6671" w14:paraId="0FF303F8" w14:textId="77777777">
            <w:pPr>
              <w:pStyle w:val="BodyText"/>
              <w:spacing w:after="120"/>
            </w:pPr>
          </w:p>
        </w:tc>
        <w:tc>
          <w:tcPr>
            <w:tcW w:w="523" w:type="pct"/>
            <w:shd w:val="clear" w:color="auto" w:fill="auto"/>
          </w:tcPr>
          <w:p w:rsidR="006E6671" w:rsidP="006E6671" w:rsidRDefault="006E6671" w14:paraId="78EBEC2D" w14:textId="77777777">
            <w:pPr>
              <w:pStyle w:val="BodyText"/>
              <w:spacing w:after="120"/>
              <w:jc w:val="center"/>
            </w:pPr>
          </w:p>
        </w:tc>
        <w:tc>
          <w:tcPr>
            <w:tcW w:w="1951" w:type="pct"/>
            <w:shd w:val="clear" w:color="auto" w:fill="auto"/>
          </w:tcPr>
          <w:p w:rsidR="006E6671" w:rsidP="006E6671" w:rsidRDefault="006E6671" w14:paraId="7EC20AF7" w14:textId="77777777">
            <w:pPr>
              <w:pStyle w:val="BodyText"/>
            </w:pPr>
            <w:r w:rsidRPr="00E47B30">
              <w:t>(b) State the record date, if any, with respect to this solicitation. If the right to vote or give consent is not to be determined, in whole or in part, by reference to a record date, indicate the criteria for the determination of security holders entitled to vote or give consent.</w:t>
            </w:r>
          </w:p>
          <w:p w:rsidRPr="00E47B30" w:rsidR="006E6671" w:rsidP="006E6671" w:rsidRDefault="006E6671" w14:paraId="0DD06533" w14:textId="5AFAF38F">
            <w:pPr>
              <w:pStyle w:val="BodyText"/>
            </w:pPr>
            <w:r>
              <w:rPr>
                <w:i/>
                <w:iCs/>
              </w:rPr>
              <w:t>Confirm that this disclosure is accurate.</w:t>
            </w:r>
          </w:p>
        </w:tc>
        <w:tc>
          <w:tcPr>
            <w:tcW w:w="931" w:type="pct"/>
          </w:tcPr>
          <w:p w:rsidRPr="00E47B30" w:rsidR="006E6671" w:rsidP="006E6671" w:rsidRDefault="006E6671" w14:paraId="0EC709E8" w14:textId="77777777">
            <w:pPr>
              <w:pStyle w:val="BodyText"/>
            </w:pPr>
          </w:p>
        </w:tc>
        <w:tc>
          <w:tcPr>
            <w:tcW w:w="561" w:type="pct"/>
          </w:tcPr>
          <w:p w:rsidRPr="007E0B55" w:rsidR="006E6671" w:rsidP="006E6671" w:rsidRDefault="006E6671" w14:paraId="04D3BB7D" w14:textId="77777777">
            <w:pPr>
              <w:pStyle w:val="BodyText"/>
              <w:contextualSpacing/>
              <w:rPr>
                <w:sz w:val="20"/>
              </w:rPr>
            </w:pPr>
          </w:p>
        </w:tc>
        <w:tc>
          <w:tcPr>
            <w:tcW w:w="344" w:type="pct"/>
            <w:vAlign w:val="center"/>
          </w:tcPr>
          <w:p w:rsidRPr="00E47B30" w:rsidR="006E6671" w:rsidP="006E6671" w:rsidRDefault="006E6671" w14:paraId="3FC4AB13"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6E6671" w:rsidP="006E6671" w:rsidRDefault="006E6671" w14:paraId="49CC5259" w14:textId="76E3BF88">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6E6671" w:rsidTr="00E708F1" w14:paraId="2F873C29" w14:textId="77777777">
        <w:trPr>
          <w:cantSplit/>
          <w:jc w:val="center"/>
        </w:trPr>
        <w:tc>
          <w:tcPr>
            <w:tcW w:w="690" w:type="pct"/>
            <w:shd w:val="clear" w:color="auto" w:fill="auto"/>
          </w:tcPr>
          <w:p w:rsidRPr="00E47B30" w:rsidR="006E6671" w:rsidP="006E6671" w:rsidRDefault="006E6671" w14:paraId="1825DA6E" w14:textId="77777777">
            <w:pPr>
              <w:pStyle w:val="BodyText"/>
              <w:spacing w:after="120"/>
            </w:pPr>
          </w:p>
        </w:tc>
        <w:tc>
          <w:tcPr>
            <w:tcW w:w="523" w:type="pct"/>
            <w:shd w:val="clear" w:color="auto" w:fill="auto"/>
          </w:tcPr>
          <w:p w:rsidR="006E6671" w:rsidP="006E6671" w:rsidRDefault="006E6671" w14:paraId="7F3973A4" w14:textId="77777777">
            <w:pPr>
              <w:pStyle w:val="BodyText"/>
              <w:spacing w:after="120"/>
              <w:jc w:val="center"/>
            </w:pPr>
          </w:p>
        </w:tc>
        <w:tc>
          <w:tcPr>
            <w:tcW w:w="1951" w:type="pct"/>
            <w:shd w:val="clear" w:color="auto" w:fill="auto"/>
          </w:tcPr>
          <w:p w:rsidR="006E6671" w:rsidP="006E6671" w:rsidRDefault="006E6671" w14:paraId="70461FC1" w14:textId="77777777">
            <w:pPr>
              <w:pStyle w:val="BodyText"/>
            </w:pPr>
            <w:r w:rsidRPr="00E47B30">
              <w:t>(c) If action is to be taken with respect to the election of directors and if the persons solicited have cumulative voting rights:</w:t>
            </w:r>
          </w:p>
          <w:p w:rsidR="006E6671" w:rsidP="006E6671" w:rsidRDefault="006E6671" w14:paraId="4D3D1397" w14:textId="77777777">
            <w:pPr>
              <w:pStyle w:val="BodyText"/>
              <w:ind w:left="331" w:hanging="270"/>
            </w:pPr>
            <w:r w:rsidRPr="00E47B30">
              <w:t>(1) Make a statement that they have such rights,</w:t>
            </w:r>
          </w:p>
          <w:p w:rsidR="006E6671" w:rsidP="006E6671" w:rsidRDefault="006E6671" w14:paraId="3B257806" w14:textId="5C321838">
            <w:pPr>
              <w:pStyle w:val="BodyText"/>
              <w:ind w:left="331" w:hanging="270"/>
            </w:pPr>
            <w:r w:rsidRPr="00E47B30">
              <w:t xml:space="preserve">(2) briefly describe such rights, </w:t>
            </w:r>
          </w:p>
          <w:p w:rsidR="006E6671" w:rsidP="006E6671" w:rsidRDefault="006E6671" w14:paraId="277A54CC" w14:textId="77777777">
            <w:pPr>
              <w:pStyle w:val="BodyText"/>
              <w:ind w:left="331" w:hanging="270"/>
            </w:pPr>
            <w:r w:rsidRPr="00E47B30">
              <w:t xml:space="preserve">(3) state briefly the conditions precedent to the exercise thereof, and </w:t>
            </w:r>
          </w:p>
          <w:p w:rsidR="006E6671" w:rsidP="006E6671" w:rsidRDefault="006E6671" w14:paraId="1B13EF0D" w14:textId="77777777">
            <w:pPr>
              <w:pStyle w:val="BodyText"/>
              <w:ind w:left="331" w:hanging="270"/>
            </w:pPr>
            <w:r w:rsidRPr="00E47B30">
              <w:t>(4) if discretionary authority to cumulate votes is solicited, so indicate.</w:t>
            </w:r>
          </w:p>
          <w:p w:rsidRPr="00E47B30" w:rsidR="006E6671" w:rsidP="006E6671" w:rsidRDefault="006E6671" w14:paraId="5A1657EF" w14:textId="256BF665">
            <w:pPr>
              <w:pStyle w:val="BodyText"/>
            </w:pPr>
            <w:r>
              <w:rPr>
                <w:i/>
                <w:iCs/>
              </w:rPr>
              <w:t>If applicable, confirm that this disclosure is accurate.</w:t>
            </w:r>
          </w:p>
        </w:tc>
        <w:tc>
          <w:tcPr>
            <w:tcW w:w="931" w:type="pct"/>
          </w:tcPr>
          <w:p w:rsidRPr="00E47B30" w:rsidR="006E6671" w:rsidP="006E6671" w:rsidRDefault="006E7DFB" w14:paraId="26384152" w14:textId="3A774973">
            <w:pPr>
              <w:pStyle w:val="BodyText"/>
            </w:pPr>
            <w:r>
              <w:t>Some companies affirmatively state that shareholders do not have cumulative voting rights to remove any doubt that this disclosure requirement has been met.</w:t>
            </w:r>
          </w:p>
        </w:tc>
        <w:tc>
          <w:tcPr>
            <w:tcW w:w="561" w:type="pct"/>
          </w:tcPr>
          <w:p w:rsidRPr="007E0B55" w:rsidR="006E6671" w:rsidP="006E6671" w:rsidRDefault="006E6671" w14:paraId="572EA3EE" w14:textId="77777777">
            <w:pPr>
              <w:pStyle w:val="BodyText"/>
              <w:contextualSpacing/>
              <w:rPr>
                <w:sz w:val="20"/>
              </w:rPr>
            </w:pPr>
          </w:p>
        </w:tc>
        <w:tc>
          <w:tcPr>
            <w:tcW w:w="344" w:type="pct"/>
            <w:vAlign w:val="center"/>
          </w:tcPr>
          <w:p w:rsidRPr="00E47B30" w:rsidR="006E6671" w:rsidP="006E6671" w:rsidRDefault="006E6671" w14:paraId="35BC1AB6"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6E6671" w:rsidP="006E6671" w:rsidRDefault="006E6671" w14:paraId="3353C3B1" w14:textId="0C599183">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6E6671" w:rsidTr="00E708F1" w14:paraId="7233E58C" w14:textId="77777777">
        <w:trPr>
          <w:cantSplit/>
          <w:jc w:val="center"/>
        </w:trPr>
        <w:tc>
          <w:tcPr>
            <w:tcW w:w="690" w:type="pct"/>
            <w:shd w:val="clear" w:color="auto" w:fill="auto"/>
          </w:tcPr>
          <w:p w:rsidRPr="00E47B30" w:rsidR="006E6671" w:rsidP="006E6671" w:rsidRDefault="006E6671" w14:paraId="75331E41" w14:textId="77777777">
            <w:pPr>
              <w:pStyle w:val="BodyText"/>
              <w:spacing w:after="120"/>
            </w:pPr>
          </w:p>
        </w:tc>
        <w:tc>
          <w:tcPr>
            <w:tcW w:w="523" w:type="pct"/>
            <w:shd w:val="clear" w:color="auto" w:fill="auto"/>
          </w:tcPr>
          <w:p w:rsidRPr="00E47B30" w:rsidR="006E6671" w:rsidP="006E6671" w:rsidRDefault="006E6671" w14:paraId="451C8CF6" w14:textId="77777777">
            <w:pPr>
              <w:pStyle w:val="BodyText"/>
              <w:spacing w:after="120"/>
              <w:jc w:val="center"/>
            </w:pPr>
          </w:p>
        </w:tc>
        <w:tc>
          <w:tcPr>
            <w:tcW w:w="1951" w:type="pct"/>
            <w:shd w:val="clear" w:color="auto" w:fill="auto"/>
          </w:tcPr>
          <w:p w:rsidR="006E6671" w:rsidP="006E6671" w:rsidRDefault="006E6671" w14:paraId="4A599CE5" w14:textId="70CDE21A">
            <w:pPr>
              <w:pStyle w:val="BodyText"/>
            </w:pPr>
            <w:r w:rsidRPr="00E47B30">
              <w:t xml:space="preserve">(d) Furnish the information required by </w:t>
            </w:r>
            <w:hyperlink w:history="1" w:anchor="229.403" r:id="rId31">
              <w:r w:rsidRPr="00BD65B3">
                <w:rPr>
                  <w:rStyle w:val="Hyperlink"/>
                </w:rPr>
                <w:t xml:space="preserve">Item 403 </w:t>
              </w:r>
            </w:hyperlink>
            <w:r w:rsidRPr="00E47B30">
              <w:t xml:space="preserve"> </w:t>
            </w:r>
            <w:r>
              <w:t>(</w:t>
            </w:r>
            <w:r w:rsidRPr="00BD65B3">
              <w:t xml:space="preserve">Security Ownership </w:t>
            </w:r>
            <w:r>
              <w:t>of</w:t>
            </w:r>
            <w:r w:rsidRPr="00BD65B3">
              <w:t xml:space="preserve"> Certain Beneficial Owners </w:t>
            </w:r>
            <w:r>
              <w:t>a</w:t>
            </w:r>
            <w:r w:rsidRPr="00BD65B3">
              <w:t>nd Management</w:t>
            </w:r>
            <w:r>
              <w:t xml:space="preserve">), </w:t>
            </w:r>
            <w:r w:rsidRPr="00E47B30">
              <w:t>to the extent known by the persons on whose behalf the solicitation is made</w:t>
            </w:r>
            <w:r>
              <w:t>.</w:t>
            </w:r>
          </w:p>
          <w:p w:rsidR="006E6671" w:rsidP="006E6671" w:rsidRDefault="006E6671" w14:paraId="53A47690" w14:textId="15D225A2">
            <w:pPr>
              <w:pStyle w:val="BodyText"/>
              <w:rPr>
                <w:i/>
                <w:iCs/>
              </w:rPr>
            </w:pPr>
            <w:r>
              <w:rPr>
                <w:i/>
                <w:iCs/>
              </w:rPr>
              <w:t>Confirm that this disclosure matches information known to the company based on information available to the company, including at a minimum</w:t>
            </w:r>
            <w:r w:rsidR="00081BB3">
              <w:rPr>
                <w:i/>
                <w:iCs/>
              </w:rPr>
              <w:t xml:space="preserve">:  </w:t>
            </w:r>
          </w:p>
          <w:p w:rsidR="006E6671" w:rsidP="006E6671" w:rsidRDefault="006E6671" w14:paraId="7AFECA6F" w14:textId="77777777">
            <w:pPr>
              <w:pStyle w:val="BodyText"/>
              <w:numPr>
                <w:ilvl w:val="0"/>
                <w:numId w:val="20"/>
              </w:numPr>
              <w:rPr>
                <w:i/>
                <w:iCs/>
              </w:rPr>
            </w:pPr>
            <w:r>
              <w:rPr>
                <w:i/>
                <w:iCs/>
              </w:rPr>
              <w:t>Company records;</w:t>
            </w:r>
          </w:p>
          <w:p w:rsidR="006E6671" w:rsidP="006E6671" w:rsidRDefault="006E6671" w14:paraId="3083DB6D" w14:textId="7B49BBA4">
            <w:pPr>
              <w:pStyle w:val="BodyText"/>
              <w:numPr>
                <w:ilvl w:val="0"/>
                <w:numId w:val="20"/>
              </w:numPr>
              <w:rPr>
                <w:i/>
                <w:iCs/>
              </w:rPr>
            </w:pPr>
            <w:r>
              <w:rPr>
                <w:i/>
                <w:iCs/>
              </w:rPr>
              <w:t>D&amp;O questionnaires returned by directors, executive officers and others</w:t>
            </w:r>
          </w:p>
          <w:p w:rsidR="006E6671" w:rsidP="006E6671" w:rsidRDefault="006E6671" w14:paraId="3B2E4581" w14:textId="77777777">
            <w:pPr>
              <w:pStyle w:val="BodyText"/>
              <w:numPr>
                <w:ilvl w:val="0"/>
                <w:numId w:val="20"/>
              </w:numPr>
              <w:rPr>
                <w:i/>
                <w:iCs/>
              </w:rPr>
            </w:pPr>
            <w:r>
              <w:rPr>
                <w:i/>
                <w:iCs/>
              </w:rPr>
              <w:t>Section 16 reports filed by directors and executive officers; and</w:t>
            </w:r>
          </w:p>
          <w:p w:rsidRPr="00722BC6" w:rsidR="006E6671" w:rsidP="006E6671" w:rsidRDefault="006E6671" w14:paraId="7358A230" w14:textId="1169EFC3">
            <w:pPr>
              <w:pStyle w:val="BodyText"/>
              <w:numPr>
                <w:ilvl w:val="0"/>
                <w:numId w:val="20"/>
              </w:numPr>
              <w:rPr>
                <w:i/>
                <w:iCs/>
              </w:rPr>
            </w:pPr>
            <w:r>
              <w:rPr>
                <w:i/>
                <w:iCs/>
              </w:rPr>
              <w:t xml:space="preserve">Schedule </w:t>
            </w:r>
            <w:proofErr w:type="spellStart"/>
            <w:r>
              <w:rPr>
                <w:i/>
                <w:iCs/>
              </w:rPr>
              <w:t>13D</w:t>
            </w:r>
            <w:proofErr w:type="spellEnd"/>
            <w:r>
              <w:rPr>
                <w:i/>
                <w:iCs/>
              </w:rPr>
              <w:t xml:space="preserve"> and </w:t>
            </w:r>
            <w:r w:rsidR="00D62D60">
              <w:rPr>
                <w:i/>
                <w:iCs/>
              </w:rPr>
              <w:t xml:space="preserve">Schedule </w:t>
            </w:r>
            <w:proofErr w:type="spellStart"/>
            <w:r>
              <w:rPr>
                <w:i/>
                <w:iCs/>
              </w:rPr>
              <w:t>13G</w:t>
            </w:r>
            <w:proofErr w:type="spellEnd"/>
            <w:r>
              <w:rPr>
                <w:i/>
                <w:iCs/>
              </w:rPr>
              <w:t xml:space="preserve"> filings.</w:t>
            </w:r>
          </w:p>
        </w:tc>
        <w:tc>
          <w:tcPr>
            <w:tcW w:w="931" w:type="pct"/>
          </w:tcPr>
          <w:p w:rsidR="006E6671" w:rsidP="006E6671" w:rsidRDefault="006E7DFB" w14:paraId="17914925" w14:textId="77777777">
            <w:pPr>
              <w:pStyle w:val="BodyText"/>
            </w:pPr>
            <w:r>
              <w:t>Note that Item 403 requires disclosure as of the most recent practicable date. While some companies provide this disclosure as of the record date, companies are not required to use the record date for this disclosure.</w:t>
            </w:r>
          </w:p>
          <w:p w:rsidRPr="00414307" w:rsidR="006E7DFB" w:rsidP="006E6671" w:rsidRDefault="006E7DFB" w14:paraId="2A531010" w14:textId="3B714742">
            <w:pPr>
              <w:pStyle w:val="BodyText"/>
            </w:pPr>
            <w:r>
              <w:t xml:space="preserve">Under Item 403, a company can rely on </w:t>
            </w:r>
            <w:r w:rsidRPr="006E7DFB">
              <w:t xml:space="preserve">Schedule </w:t>
            </w:r>
            <w:proofErr w:type="spellStart"/>
            <w:r w:rsidRPr="006E7DFB">
              <w:t>13D</w:t>
            </w:r>
            <w:proofErr w:type="spellEnd"/>
            <w:r w:rsidRPr="006E7DFB">
              <w:t xml:space="preserve"> and </w:t>
            </w:r>
            <w:r w:rsidR="00D62D60">
              <w:t xml:space="preserve">Schedule </w:t>
            </w:r>
            <w:proofErr w:type="spellStart"/>
            <w:r w:rsidRPr="006E7DFB">
              <w:t>13G</w:t>
            </w:r>
            <w:proofErr w:type="spellEnd"/>
            <w:r>
              <w:t xml:space="preserve"> filing</w:t>
            </w:r>
            <w:r w:rsidR="00D62D60">
              <w:t xml:space="preserve">s </w:t>
            </w:r>
            <w:r w:rsidRPr="006E7DFB">
              <w:t>of any 5</w:t>
            </w:r>
            <w:r w:rsidR="00D62D60">
              <w:t xml:space="preserve">% </w:t>
            </w:r>
            <w:r w:rsidRPr="006E7DFB">
              <w:t>beneficial owners who had not filed such reports</w:t>
            </w:r>
            <w:r w:rsidR="00D62D60">
              <w:t xml:space="preserve"> unless </w:t>
            </w:r>
            <w:r w:rsidRPr="006E7DFB" w:rsidR="00D62D60">
              <w:t>it ha</w:t>
            </w:r>
            <w:r w:rsidR="00D62D60">
              <w:t>s</w:t>
            </w:r>
            <w:r w:rsidRPr="006E7DFB" w:rsidR="00D62D60">
              <w:t xml:space="preserve"> knowledge or reason to believe that such information is not complete or accurate or that a statement or amendment that should have been filed was </w:t>
            </w:r>
            <w:r w:rsidR="00D62D60">
              <w:t>not filed.</w:t>
            </w:r>
            <w:r w:rsidR="00774D17">
              <w:t xml:space="preserve"> </w:t>
            </w:r>
            <w:r w:rsidR="00D62D60">
              <w:t xml:space="preserve">A </w:t>
            </w:r>
            <w:r w:rsidR="00F131BB">
              <w:t xml:space="preserve">company </w:t>
            </w:r>
            <w:r>
              <w:t xml:space="preserve">is not required to </w:t>
            </w:r>
            <w:r w:rsidR="00F131BB">
              <w:t>consider</w:t>
            </w:r>
            <w:r>
              <w:t xml:space="preserve"> Form 13-F filings. See </w:t>
            </w:r>
            <w:hyperlink w:history="1" r:id="rId32">
              <w:r w:rsidRPr="006E7DFB">
                <w:rPr>
                  <w:rStyle w:val="Hyperlink"/>
                </w:rPr>
                <w:t>Regulation S-K CDI 229.02</w:t>
              </w:r>
            </w:hyperlink>
            <w:r>
              <w:t>.</w:t>
            </w:r>
          </w:p>
        </w:tc>
        <w:tc>
          <w:tcPr>
            <w:tcW w:w="561" w:type="pct"/>
          </w:tcPr>
          <w:p w:rsidRPr="007E0B55" w:rsidR="006E6671" w:rsidP="006E6671" w:rsidRDefault="006E6671" w14:paraId="4F9BFCC5" w14:textId="77777777">
            <w:pPr>
              <w:pStyle w:val="BodyText"/>
              <w:contextualSpacing/>
              <w:rPr>
                <w:sz w:val="20"/>
              </w:rPr>
            </w:pPr>
          </w:p>
        </w:tc>
        <w:tc>
          <w:tcPr>
            <w:tcW w:w="344" w:type="pct"/>
            <w:vAlign w:val="center"/>
          </w:tcPr>
          <w:p w:rsidRPr="00E47B30" w:rsidR="006E6671" w:rsidP="006E6671" w:rsidRDefault="006E6671" w14:paraId="0ABCD326"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6E6671" w:rsidP="006E6671" w:rsidRDefault="006E6671" w14:paraId="2E3CEBEE" w14:textId="08FD01B8">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6E6671" w:rsidTr="00E708F1" w14:paraId="04D2FA38" w14:textId="77777777">
        <w:trPr>
          <w:cantSplit/>
          <w:jc w:val="center"/>
        </w:trPr>
        <w:tc>
          <w:tcPr>
            <w:tcW w:w="690" w:type="pct"/>
            <w:shd w:val="clear" w:color="auto" w:fill="auto"/>
          </w:tcPr>
          <w:p w:rsidRPr="00E47B30" w:rsidR="006E6671" w:rsidP="006E6671" w:rsidRDefault="006E6671" w14:paraId="7AF93EAE" w14:textId="77777777">
            <w:pPr>
              <w:pStyle w:val="BodyText"/>
              <w:spacing w:after="120"/>
            </w:pPr>
          </w:p>
        </w:tc>
        <w:tc>
          <w:tcPr>
            <w:tcW w:w="523" w:type="pct"/>
            <w:shd w:val="clear" w:color="auto" w:fill="auto"/>
          </w:tcPr>
          <w:p w:rsidRPr="00E47B30" w:rsidR="006E6671" w:rsidP="006E6671" w:rsidRDefault="006E6671" w14:paraId="46E6978A" w14:textId="77777777">
            <w:pPr>
              <w:pStyle w:val="BodyText"/>
              <w:spacing w:after="120"/>
              <w:jc w:val="center"/>
            </w:pPr>
          </w:p>
        </w:tc>
        <w:tc>
          <w:tcPr>
            <w:tcW w:w="1951" w:type="pct"/>
            <w:shd w:val="clear" w:color="auto" w:fill="auto"/>
          </w:tcPr>
          <w:p w:rsidR="006E6671" w:rsidP="006E6671" w:rsidRDefault="006E6671" w14:paraId="1F276434" w14:textId="77777777">
            <w:pPr>
              <w:pStyle w:val="BodyText"/>
            </w:pPr>
            <w:r w:rsidRPr="00E47B30">
              <w:t xml:space="preserve">(e) If, to the knowledge of the persons on whose behalf the solicitation is made, a change in control of the </w:t>
            </w:r>
            <w:r>
              <w:t>company</w:t>
            </w:r>
            <w:r w:rsidRPr="00E47B30">
              <w:t xml:space="preserve"> has occurred since the beginning of its last fiscal year, state the name of the person(s) who acquired such control, the amount and the source of the consideration used by such person or persons; the basis of the control, the date and a description of the transaction(s) which resulted in the change of control and the percentage of voting securities of the </w:t>
            </w:r>
            <w:r>
              <w:t>company</w:t>
            </w:r>
            <w:r w:rsidRPr="00E47B30">
              <w:t xml:space="preserve"> now beneficially owned directly or indirectly by the person(s) who acquired control; and the identity of the person(s) from whom control was assumed.</w:t>
            </w:r>
          </w:p>
          <w:p w:rsidR="006E6671" w:rsidP="006E6671" w:rsidRDefault="006E6671" w14:paraId="66D0B7F6" w14:textId="3BF7A2F3">
            <w:pPr>
              <w:pStyle w:val="BodyText"/>
            </w:pPr>
            <w:r w:rsidRPr="00E47B30">
              <w:t xml:space="preserve">If the source of all or any part of the consideration used is a loan made in the ordinary course of business by a bank as defined by section 3(a)(6) of the </w:t>
            </w:r>
            <w:r>
              <w:t>Exchange Act</w:t>
            </w:r>
            <w:r w:rsidRPr="00E47B30">
              <w:t xml:space="preserve">, the identity of such bank shall be omitted provided a request for confidentiality has been made pursuant to section 13(d)(1)(B) of the </w:t>
            </w:r>
            <w:r w:rsidRPr="00A0707D">
              <w:t>Exchange Act by the</w:t>
            </w:r>
            <w:r w:rsidRPr="00E47B30">
              <w:t xml:space="preserve"> person(s) who acquired control. In lieu thereof, the material shall indicate that the identity of the bank has been so omitted and filed separately with the</w:t>
            </w:r>
            <w:r w:rsidR="00A0707D">
              <w:t xml:space="preserve"> SEC</w:t>
            </w:r>
            <w:r w:rsidRPr="00E47B30">
              <w:t>.</w:t>
            </w:r>
          </w:p>
          <w:p w:rsidRPr="00C25860" w:rsidR="006E6671" w:rsidP="006E6671" w:rsidRDefault="006E6671" w14:paraId="17506C91" w14:textId="570D5F18">
            <w:pPr>
              <w:pStyle w:val="BodyText"/>
              <w:rPr>
                <w:i/>
                <w:iCs/>
              </w:rPr>
            </w:pPr>
            <w:r>
              <w:rPr>
                <w:i/>
                <w:iCs/>
              </w:rPr>
              <w:t>If applicable, confirm that this disclosure is accurate.</w:t>
            </w:r>
          </w:p>
        </w:tc>
        <w:tc>
          <w:tcPr>
            <w:tcW w:w="931" w:type="pct"/>
          </w:tcPr>
          <w:p w:rsidRPr="00414307" w:rsidR="006E6671" w:rsidP="006E6671" w:rsidRDefault="006E6671" w14:paraId="0361AB94" w14:textId="77777777">
            <w:pPr>
              <w:pStyle w:val="BodyText"/>
            </w:pPr>
          </w:p>
        </w:tc>
        <w:tc>
          <w:tcPr>
            <w:tcW w:w="561" w:type="pct"/>
          </w:tcPr>
          <w:p w:rsidRPr="007E0B55" w:rsidR="006E6671" w:rsidP="006E6671" w:rsidRDefault="006E6671" w14:paraId="55000962" w14:textId="77777777">
            <w:pPr>
              <w:pStyle w:val="BodyText"/>
              <w:contextualSpacing/>
              <w:rPr>
                <w:sz w:val="20"/>
              </w:rPr>
            </w:pPr>
          </w:p>
        </w:tc>
        <w:tc>
          <w:tcPr>
            <w:tcW w:w="344" w:type="pct"/>
            <w:vAlign w:val="center"/>
          </w:tcPr>
          <w:p w:rsidRPr="00E47B30" w:rsidR="006E6671" w:rsidP="006E6671" w:rsidRDefault="006E6671" w14:paraId="70FD48A1"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6E6671" w:rsidP="006E6671" w:rsidRDefault="006E6671" w14:paraId="7D74CC6A" w14:textId="3FD830A4">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361A90" w:rsidTr="00E708F1" w14:paraId="3271BA57" w14:textId="77777777">
        <w:trPr>
          <w:cantSplit/>
          <w:jc w:val="center"/>
        </w:trPr>
        <w:tc>
          <w:tcPr>
            <w:tcW w:w="5000" w:type="pct"/>
            <w:gridSpan w:val="6"/>
            <w:shd w:val="clear" w:color="auto" w:fill="D9D9D9" w:themeFill="background1" w:themeFillShade="D9"/>
          </w:tcPr>
          <w:p w:rsidRPr="00361A90" w:rsidR="00361A90" w:rsidP="00E708F1" w:rsidRDefault="00361A90" w14:paraId="28B7E8FB" w14:textId="1A992DB7">
            <w:pPr>
              <w:keepNext/>
              <w:spacing w:after="0"/>
              <w:rPr>
                <w:b/>
                <w:bCs/>
                <w:szCs w:val="22"/>
              </w:rPr>
            </w:pPr>
            <w:r>
              <w:rPr>
                <w:b/>
                <w:bCs/>
                <w:szCs w:val="22"/>
              </w:rPr>
              <w:lastRenderedPageBreak/>
              <w:t>Item 7.  Directors and Executive Officers</w:t>
            </w:r>
          </w:p>
        </w:tc>
      </w:tr>
      <w:tr w:rsidRPr="00E47B30" w:rsidR="006E6671" w:rsidTr="00E708F1" w14:paraId="37D8C35B" w14:textId="77777777">
        <w:trPr>
          <w:cantSplit/>
          <w:jc w:val="center"/>
        </w:trPr>
        <w:tc>
          <w:tcPr>
            <w:tcW w:w="690" w:type="pct"/>
            <w:shd w:val="clear" w:color="auto" w:fill="auto"/>
          </w:tcPr>
          <w:p w:rsidRPr="00E47B30" w:rsidR="006E6671" w:rsidP="006E6671" w:rsidRDefault="006E6671" w14:paraId="56954044" w14:textId="77777777">
            <w:pPr>
              <w:pStyle w:val="BodyText"/>
              <w:spacing w:after="120"/>
            </w:pPr>
            <w:r w:rsidRPr="00E47B30">
              <w:t>Item 7. Directors and Executive Officers</w:t>
            </w:r>
          </w:p>
        </w:tc>
        <w:tc>
          <w:tcPr>
            <w:tcW w:w="523" w:type="pct"/>
            <w:shd w:val="clear" w:color="auto" w:fill="auto"/>
          </w:tcPr>
          <w:p w:rsidRPr="00E47B30" w:rsidR="006E6671" w:rsidP="006E6671" w:rsidRDefault="00B45364" w14:paraId="49E162DE" w14:textId="74051A0A">
            <w:pPr>
              <w:pStyle w:val="BodyText"/>
              <w:spacing w:after="120"/>
              <w:jc w:val="center"/>
            </w:pPr>
            <w:r>
              <w:t xml:space="preserve">Nasdaq </w:t>
            </w:r>
            <w:hyperlink w:history="1" r:id="rId33">
              <w:r w:rsidRPr="00B45364">
                <w:rPr>
                  <w:rStyle w:val="Hyperlink"/>
                </w:rPr>
                <w:t>Rule 5606</w:t>
              </w:r>
            </w:hyperlink>
          </w:p>
        </w:tc>
        <w:tc>
          <w:tcPr>
            <w:tcW w:w="1951" w:type="pct"/>
            <w:shd w:val="clear" w:color="auto" w:fill="auto"/>
          </w:tcPr>
          <w:p w:rsidR="006E6671" w:rsidP="006E6671" w:rsidRDefault="00F41E45" w14:paraId="0CFEABDA" w14:textId="098B9DB2">
            <w:pPr>
              <w:pStyle w:val="BodyText"/>
            </w:pPr>
            <w:r>
              <w:rPr>
                <w:b/>
                <w:bCs/>
              </w:rPr>
              <w:t xml:space="preserve">Nasdaq </w:t>
            </w:r>
            <w:r w:rsidR="00B60287">
              <w:rPr>
                <w:b/>
                <w:bCs/>
              </w:rPr>
              <w:t>Board</w:t>
            </w:r>
            <w:r>
              <w:rPr>
                <w:b/>
                <w:bCs/>
              </w:rPr>
              <w:t xml:space="preserve"> Diversity Matrix Disclosure</w:t>
            </w:r>
          </w:p>
          <w:p w:rsidR="00F41E45" w:rsidP="006E6671" w:rsidRDefault="00F41E45" w14:paraId="310895F2" w14:textId="297D3BB0">
            <w:pPr>
              <w:pStyle w:val="BodyText"/>
            </w:pPr>
            <w:r>
              <w:t xml:space="preserve">Nasdaq rules require </w:t>
            </w:r>
            <w:r w:rsidR="004D7267">
              <w:t>listed companies to disclose gender and demographic diversity of the company</w:t>
            </w:r>
            <w:r w:rsidR="00113572">
              <w:t>’</w:t>
            </w:r>
            <w:r w:rsidR="004D7267">
              <w:t>s directors.</w:t>
            </w:r>
            <w:r w:rsidR="005E68D6">
              <w:t xml:space="preserve"> </w:t>
            </w:r>
            <w:r w:rsidR="004D7267">
              <w:t>The director diversity matrix rule does not provide any exceptions or modifications for Smaller Reporting Companies or Emerging Growth Companies.</w:t>
            </w:r>
          </w:p>
          <w:p w:rsidR="00B60287" w:rsidP="00B60287" w:rsidRDefault="00B60287" w14:paraId="08DF1DFB" w14:textId="5EF5FC9A">
            <w:pPr>
              <w:pStyle w:val="BodyText"/>
            </w:pPr>
            <w:r>
              <w:t xml:space="preserve">The matrix must be titled </w:t>
            </w:r>
            <w:r w:rsidR="00113572">
              <w:t>“</w:t>
            </w:r>
            <w:r>
              <w:t>Board Diversity Matrix.</w:t>
            </w:r>
            <w:r w:rsidR="00113572">
              <w:t>”</w:t>
            </w:r>
            <w:r>
              <w:t xml:space="preserve">  The Board Diversity Matrix must include </w:t>
            </w:r>
            <w:r w:rsidR="00113572">
              <w:t>“</w:t>
            </w:r>
            <w:r>
              <w:t>As of [date]</w:t>
            </w:r>
            <w:r w:rsidR="00113572">
              <w:t>”</w:t>
            </w:r>
            <w:r>
              <w:t xml:space="preserve"> to show the date as of which the information was collected.</w:t>
            </w:r>
          </w:p>
          <w:p w:rsidR="004D7267" w:rsidP="006E6671" w:rsidRDefault="004D7267" w14:paraId="72F5697B" w14:textId="67C23898">
            <w:pPr>
              <w:pStyle w:val="BodyText"/>
            </w:pPr>
            <w:r>
              <w:t>The rule requires that companies disclose this information in the format specified by the Nasdaq rule, without modifying the matrix.</w:t>
            </w:r>
            <w:r w:rsidR="005E68D6">
              <w:t xml:space="preserve"> </w:t>
            </w:r>
            <w:r>
              <w:t>Additional information, if any, must be presented either in a separate table or in text below the Nasdaq matrix.</w:t>
            </w:r>
          </w:p>
          <w:p w:rsidR="004D7267" w:rsidP="006E6671" w:rsidRDefault="004D7267" w14:paraId="3B08DBB1" w14:textId="6731DE49">
            <w:pPr>
              <w:pStyle w:val="BodyText"/>
            </w:pPr>
            <w:r>
              <w:t>For 2022, companies must disclose one year of diversity information.</w:t>
            </w:r>
            <w:r w:rsidR="005E68D6">
              <w:t xml:space="preserve"> </w:t>
            </w:r>
            <w:r>
              <w:t>Starting in 2023, companies must disclose two years of diversity information.</w:t>
            </w:r>
          </w:p>
          <w:p w:rsidR="004D7267" w:rsidP="006E6671" w:rsidRDefault="004D7267" w14:paraId="2279A3F7" w14:textId="78F84F58">
            <w:pPr>
              <w:pStyle w:val="BodyText"/>
            </w:pPr>
            <w:r>
              <w:t>The matrix must be text-searchable.</w:t>
            </w:r>
            <w:r w:rsidR="005E68D6">
              <w:t xml:space="preserve"> </w:t>
            </w:r>
            <w:r w:rsidR="00B60287">
              <w:t>If the company uses an image or graphical format to present the Board Diversity Matrix, the company must also include the information in a text or tabular format that is text-searchable.</w:t>
            </w:r>
          </w:p>
          <w:p w:rsidRPr="00212212" w:rsidR="00212212" w:rsidP="006E6671" w:rsidRDefault="00212212" w14:paraId="5EF7C186" w14:textId="4DD8E828">
            <w:pPr>
              <w:pStyle w:val="BodyText"/>
              <w:rPr>
                <w:i/>
                <w:iCs/>
              </w:rPr>
            </w:pPr>
            <w:r>
              <w:rPr>
                <w:i/>
                <w:iCs/>
              </w:rPr>
              <w:t>Confirm that this disclosure is accurate and is presented in the format required by Nasdaq Rule 5606.</w:t>
            </w:r>
          </w:p>
        </w:tc>
        <w:tc>
          <w:tcPr>
            <w:tcW w:w="931" w:type="pct"/>
          </w:tcPr>
          <w:p w:rsidRPr="00414307" w:rsidR="006E6671" w:rsidP="006E6671" w:rsidRDefault="000D00E3" w14:paraId="61C82571" w14:textId="7F571B4B">
            <w:pPr>
              <w:pStyle w:val="BodyText"/>
              <w:rPr>
                <w:u w:val="single"/>
              </w:rPr>
            </w:pPr>
            <w:hyperlink w:history="1" r:id="rId34">
              <w:r w:rsidRPr="00414307" w:rsidR="00F41E45">
                <w:rPr>
                  <w:rStyle w:val="Hyperlink"/>
                  <w:szCs w:val="22"/>
                </w:rPr>
                <w:t>SEC Approves Nasdaq Board Diversity Rules</w:t>
              </w:r>
            </w:hyperlink>
            <w:r w:rsidRPr="00414307" w:rsidR="00F41E45">
              <w:rPr>
                <w:szCs w:val="22"/>
              </w:rPr>
              <w:t xml:space="preserve"> </w:t>
            </w:r>
            <w:r w:rsidR="00F41E45">
              <w:rPr>
                <w:szCs w:val="22"/>
              </w:rPr>
              <w:t>(Goodwin alert)</w:t>
            </w:r>
          </w:p>
        </w:tc>
        <w:tc>
          <w:tcPr>
            <w:tcW w:w="561" w:type="pct"/>
          </w:tcPr>
          <w:p w:rsidRPr="007E0B55" w:rsidR="006E6671" w:rsidP="006E6671" w:rsidRDefault="006E6671" w14:paraId="5651523E" w14:textId="77777777">
            <w:pPr>
              <w:pStyle w:val="BodyText"/>
              <w:contextualSpacing/>
              <w:rPr>
                <w:sz w:val="20"/>
                <w:u w:val="single"/>
              </w:rPr>
            </w:pPr>
          </w:p>
        </w:tc>
        <w:tc>
          <w:tcPr>
            <w:tcW w:w="344" w:type="pct"/>
            <w:vAlign w:val="center"/>
          </w:tcPr>
          <w:p w:rsidRPr="00E47B30" w:rsidR="006E6671" w:rsidP="006E6671" w:rsidRDefault="006E6671" w14:paraId="63CEC9A2"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6E6671" w:rsidP="006E6671" w:rsidRDefault="006E6671" w14:paraId="08CCE779" w14:textId="0F1A45B0">
            <w:pPr>
              <w:pStyle w:val="BodyText"/>
              <w:spacing w:after="0"/>
              <w:jc w:val="center"/>
              <w:rPr>
                <w:u w:val="single"/>
              </w:rPr>
            </w:pPr>
            <w:r w:rsidRPr="00E47B30">
              <w:rPr>
                <w:szCs w:val="22"/>
              </w:rPr>
              <w:t xml:space="preserve">No  </w:t>
            </w:r>
            <w:r w:rsidRPr="00E47B30">
              <w:rPr>
                <w:rFonts w:ascii="Segoe UI Symbol" w:hAnsi="Segoe UI Symbol" w:eastAsia="MS Gothic" w:cs="Segoe UI Symbol"/>
                <w:szCs w:val="22"/>
              </w:rPr>
              <w:t>☐</w:t>
            </w:r>
          </w:p>
        </w:tc>
      </w:tr>
      <w:tr w:rsidRPr="00E47B30" w:rsidR="00CE55BF" w:rsidTr="00E708F1" w14:paraId="64CA6CCE" w14:textId="77777777">
        <w:trPr>
          <w:cantSplit/>
          <w:jc w:val="center"/>
        </w:trPr>
        <w:tc>
          <w:tcPr>
            <w:tcW w:w="690" w:type="pct"/>
            <w:shd w:val="clear" w:color="auto" w:fill="auto"/>
          </w:tcPr>
          <w:p w:rsidRPr="00E47B30" w:rsidR="00CE55BF" w:rsidP="00CE55BF" w:rsidRDefault="00CE55BF" w14:paraId="36803A21" w14:textId="77777777">
            <w:pPr>
              <w:pStyle w:val="BodyText"/>
              <w:spacing w:after="120"/>
            </w:pPr>
          </w:p>
        </w:tc>
        <w:tc>
          <w:tcPr>
            <w:tcW w:w="523" w:type="pct"/>
            <w:shd w:val="clear" w:color="auto" w:fill="auto"/>
          </w:tcPr>
          <w:p w:rsidRPr="00E47B30" w:rsidR="00CE55BF" w:rsidP="00CE55BF" w:rsidRDefault="00CE55BF" w14:paraId="7042D98E" w14:textId="77777777">
            <w:pPr>
              <w:pStyle w:val="BodyText"/>
              <w:spacing w:after="120"/>
              <w:jc w:val="center"/>
            </w:pPr>
          </w:p>
        </w:tc>
        <w:tc>
          <w:tcPr>
            <w:tcW w:w="1951" w:type="pct"/>
            <w:shd w:val="clear" w:color="auto" w:fill="auto"/>
          </w:tcPr>
          <w:p w:rsidRPr="00FF01DB" w:rsidR="00CE55BF" w:rsidP="00CE55BF" w:rsidRDefault="00CE55BF" w14:paraId="0F6A879D" w14:textId="0F60AC99">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rPr>
                <w:b/>
                <w:szCs w:val="22"/>
              </w:rPr>
            </w:pPr>
            <w:r w:rsidRPr="00FF01DB">
              <w:rPr>
                <w:b/>
                <w:szCs w:val="22"/>
              </w:rPr>
              <w:t>Compliance Dates for Nasdaq-Listed Companies</w:t>
            </w:r>
          </w:p>
          <w:p w:rsidRPr="00FF01DB" w:rsidR="00CE55BF" w:rsidP="00FF01DB" w:rsidRDefault="00CE55BF" w14:paraId="05766963" w14:textId="5A1EE2B7">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rPr>
                <w:bCs/>
                <w:szCs w:val="22"/>
              </w:rPr>
            </w:pPr>
            <w:r w:rsidRPr="00FF01DB">
              <w:rPr>
                <w:bCs/>
                <w:szCs w:val="22"/>
              </w:rPr>
              <w:t>Nasdaq-listed companies that were listed before August 6, 2021 must initially disclose the Board Diversity Matrix in 2022</w:t>
            </w:r>
            <w:r w:rsidRPr="00FF01DB">
              <w:rPr>
                <w:szCs w:val="22"/>
              </w:rPr>
              <w:t xml:space="preserve"> by the </w:t>
            </w:r>
            <w:r w:rsidRPr="00FF01DB">
              <w:rPr>
                <w:bCs/>
                <w:szCs w:val="22"/>
              </w:rPr>
              <w:t>later of</w:t>
            </w:r>
            <w:r w:rsidRPr="00FF01DB" w:rsidR="00081BB3">
              <w:rPr>
                <w:bCs/>
                <w:szCs w:val="22"/>
              </w:rPr>
              <w:t xml:space="preserve">:  </w:t>
            </w:r>
            <w:r w:rsidRPr="00FF01DB">
              <w:rPr>
                <w:bCs/>
                <w:szCs w:val="22"/>
              </w:rPr>
              <w:t xml:space="preserve">(1) August 8, 2022 or (2) the date the Company files its proxy statement or its information statement for its annual meeting of shareholders (or, if the Company does not file a proxy or information statement, the date it files its Form 10-K or 20-F) during the calendar year of 2022. </w:t>
            </w:r>
          </w:p>
          <w:p w:rsidRPr="00FF01DB" w:rsidR="00CE55BF" w:rsidP="00FF01DB" w:rsidRDefault="00CE55BF" w14:paraId="65D6BBC1" w14:textId="0ACA1438">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rPr>
                <w:bCs/>
                <w:szCs w:val="22"/>
              </w:rPr>
            </w:pPr>
            <w:r w:rsidRPr="00FF01DB">
              <w:rPr>
                <w:bCs/>
                <w:szCs w:val="22"/>
              </w:rPr>
              <w:t>For greater clarity, Nasdaq has published the following deadlines:</w:t>
            </w:r>
          </w:p>
          <w:p w:rsidRPr="00FF01DB" w:rsidR="00CE55BF" w:rsidP="00FF01DB" w:rsidRDefault="00CE55BF" w14:paraId="306880CB" w14:textId="528CE7F9">
            <w:pPr>
              <w:keepNext/>
              <w:keepLines/>
              <w:numPr>
                <w:ilvl w:val="0"/>
                <w:numId w:val="24"/>
              </w:numPr>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ind w:left="735" w:hanging="195"/>
              <w:rPr>
                <w:bCs/>
                <w:szCs w:val="22"/>
              </w:rPr>
            </w:pPr>
            <w:r w:rsidRPr="00FF01DB">
              <w:rPr>
                <w:bCs/>
                <w:szCs w:val="22"/>
              </w:rPr>
              <w:t>if the company files its 2022 proxy statement before August 8, 2022 and does not include the Board Diversity Matrix, the company has until August 8, 2022 to provide the Board Diversity Matrix either (a) on the company</w:t>
            </w:r>
            <w:r w:rsidR="00113572">
              <w:rPr>
                <w:bCs/>
                <w:szCs w:val="22"/>
              </w:rPr>
              <w:t>’</w:t>
            </w:r>
            <w:r w:rsidRPr="00FF01DB">
              <w:rPr>
                <w:bCs/>
                <w:szCs w:val="22"/>
              </w:rPr>
              <w:t>s website or (b) in an amended annual report (such as on Form 10-K or 20-F);</w:t>
            </w:r>
          </w:p>
          <w:p w:rsidRPr="00FF01DB" w:rsidR="00CE55BF" w:rsidP="00FF01DB" w:rsidRDefault="00CE55BF" w14:paraId="0D07EFCA" w14:textId="0DDB7F40">
            <w:pPr>
              <w:keepNext/>
              <w:keepLines/>
              <w:numPr>
                <w:ilvl w:val="0"/>
                <w:numId w:val="24"/>
              </w:numPr>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ind w:left="735" w:hanging="195"/>
              <w:rPr>
                <w:bCs/>
                <w:szCs w:val="22"/>
              </w:rPr>
            </w:pPr>
            <w:r w:rsidRPr="00FF01DB">
              <w:rPr>
                <w:bCs/>
                <w:szCs w:val="22"/>
              </w:rPr>
              <w:t>if the company files its 2022 proxy statement on or after August 8, 2022, it must either include the Board Diversity Matrix in its proxy statement or post the Board Diversity Matrix on its website within one business day of filing its proxy statement; and</w:t>
            </w:r>
          </w:p>
          <w:p w:rsidRPr="00FF01DB" w:rsidR="00CE55BF" w:rsidP="00FF01DB" w:rsidRDefault="00CE55BF" w14:paraId="3085C31A" w14:textId="400C6B6A">
            <w:pPr>
              <w:keepNext/>
              <w:keepLines/>
              <w:numPr>
                <w:ilvl w:val="0"/>
                <w:numId w:val="24"/>
              </w:numPr>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ind w:left="735" w:hanging="195"/>
              <w:rPr>
                <w:bCs/>
                <w:szCs w:val="22"/>
              </w:rPr>
            </w:pPr>
            <w:r w:rsidRPr="00FF01DB">
              <w:rPr>
                <w:bCs/>
                <w:szCs w:val="22"/>
              </w:rPr>
              <w:t>if the company does not intend to file a proxy statement in 2022, the company has until August 8, 2022 to provide the Board Diversity Matrix on its website.</w:t>
            </w:r>
          </w:p>
          <w:p w:rsidRPr="00FF01DB" w:rsidR="00CE55BF" w:rsidP="00FF01DB" w:rsidRDefault="00CE55BF" w14:paraId="63ACA90C" w14:textId="5646F6A0">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rPr>
                <w:bCs/>
                <w:szCs w:val="22"/>
              </w:rPr>
            </w:pPr>
            <w:r w:rsidRPr="00FF01DB">
              <w:rPr>
                <w:bCs/>
                <w:szCs w:val="22"/>
              </w:rPr>
              <w:t>Nasdaq-listed companies that were listed on or after August 6, 2021 must disclose the Board Diversity Matrix not later than one year from the date of listing.</w:t>
            </w:r>
          </w:p>
          <w:p w:rsidRPr="00280836" w:rsidR="00CE55BF" w:rsidP="00FF01DB" w:rsidRDefault="00CE55BF" w14:paraId="4FA1070F" w14:textId="680DFED7">
            <w:pPr>
              <w:keepNext/>
              <w:keepLines/>
              <w:tabs>
                <w:tab w:val="left" w:pos="720"/>
                <w:tab w:val="left" w:pos="1440"/>
                <w:tab w:val="left" w:pos="2145"/>
                <w:tab w:val="left" w:pos="2880"/>
                <w:tab w:val="left" w:pos="3600"/>
                <w:tab w:val="left" w:pos="4320"/>
                <w:tab w:val="left" w:pos="5040"/>
                <w:tab w:val="left" w:pos="5760"/>
                <w:tab w:val="left" w:pos="6480"/>
                <w:tab w:val="left" w:pos="7200"/>
                <w:tab w:val="left" w:pos="7920"/>
                <w:tab w:val="left" w:pos="8640"/>
                <w:tab w:val="left" w:pos="9360"/>
              </w:tabs>
              <w:spacing w:after="240"/>
              <w:rPr>
                <w:bCs/>
                <w:sz w:val="20"/>
              </w:rPr>
            </w:pPr>
            <w:r w:rsidRPr="00FF01DB">
              <w:rPr>
                <w:bCs/>
                <w:szCs w:val="22"/>
              </w:rPr>
              <w:t>Nasdaq-listed companies that elect to provide the Board Diversity Matrix on the company</w:t>
            </w:r>
            <w:r w:rsidR="00113572">
              <w:rPr>
                <w:bCs/>
                <w:szCs w:val="22"/>
              </w:rPr>
              <w:t>’</w:t>
            </w:r>
            <w:r w:rsidRPr="00FF01DB">
              <w:rPr>
                <w:bCs/>
                <w:szCs w:val="22"/>
              </w:rPr>
              <w:t>s website instead of in the company</w:t>
            </w:r>
            <w:r w:rsidR="00113572">
              <w:rPr>
                <w:bCs/>
                <w:szCs w:val="22"/>
              </w:rPr>
              <w:t>’</w:t>
            </w:r>
            <w:r w:rsidRPr="00FF01DB">
              <w:rPr>
                <w:bCs/>
                <w:szCs w:val="22"/>
              </w:rPr>
              <w:t>s proxy statement must also complete a short form on the Nasdaq Listing Center.</w:t>
            </w:r>
            <w:r w:rsidR="00774D17">
              <w:rPr>
                <w:bCs/>
                <w:szCs w:val="22"/>
              </w:rPr>
              <w:t xml:space="preserve"> </w:t>
            </w:r>
            <w:r w:rsidRPr="00FF01DB" w:rsidR="00FF01DB">
              <w:rPr>
                <w:bCs/>
                <w:szCs w:val="22"/>
              </w:rPr>
              <w:t>If posted on the company</w:t>
            </w:r>
            <w:r w:rsidR="00113572">
              <w:rPr>
                <w:bCs/>
                <w:szCs w:val="22"/>
              </w:rPr>
              <w:t>’</w:t>
            </w:r>
            <w:r w:rsidRPr="00FF01DB" w:rsidR="00FF01DB">
              <w:rPr>
                <w:bCs/>
                <w:szCs w:val="22"/>
              </w:rPr>
              <w:t>s website, the Board Diversity Matrix must remain accessible.</w:t>
            </w:r>
          </w:p>
        </w:tc>
        <w:tc>
          <w:tcPr>
            <w:tcW w:w="931" w:type="pct"/>
          </w:tcPr>
          <w:p w:rsidR="00CE55BF" w:rsidP="00CE55BF" w:rsidRDefault="00CE55BF" w14:paraId="6F98A8A2" w14:textId="77777777">
            <w:pPr>
              <w:pStyle w:val="BodyText"/>
            </w:pPr>
          </w:p>
        </w:tc>
        <w:tc>
          <w:tcPr>
            <w:tcW w:w="561" w:type="pct"/>
          </w:tcPr>
          <w:p w:rsidRPr="007E0B55" w:rsidR="00CE55BF" w:rsidP="00CE55BF" w:rsidRDefault="00CE55BF" w14:paraId="4E8A350E" w14:textId="77777777">
            <w:pPr>
              <w:pStyle w:val="BodyText"/>
              <w:contextualSpacing/>
              <w:rPr>
                <w:sz w:val="20"/>
                <w:u w:val="single"/>
              </w:rPr>
            </w:pPr>
          </w:p>
        </w:tc>
        <w:tc>
          <w:tcPr>
            <w:tcW w:w="344" w:type="pct"/>
            <w:vAlign w:val="center"/>
          </w:tcPr>
          <w:p w:rsidRPr="00E47B30" w:rsidR="00CE55BF" w:rsidP="00CE55BF" w:rsidRDefault="00CE55BF" w14:paraId="4A07D109"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CE55BF" w:rsidP="00CE55BF" w:rsidRDefault="00CE55BF" w14:paraId="27222AA3" w14:textId="28EB15EC">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7C0A13" w:rsidTr="00E708F1" w14:paraId="5D09B45F" w14:textId="77777777">
        <w:trPr>
          <w:cantSplit/>
          <w:jc w:val="center"/>
        </w:trPr>
        <w:tc>
          <w:tcPr>
            <w:tcW w:w="690" w:type="pct"/>
            <w:shd w:val="clear" w:color="auto" w:fill="auto"/>
          </w:tcPr>
          <w:p w:rsidR="007C0A13" w:rsidP="00CE55BF" w:rsidRDefault="007C0A13" w14:paraId="4CBF4BEE" w14:textId="3B7E0CEB">
            <w:pPr>
              <w:pStyle w:val="BodyText"/>
              <w:spacing w:after="120"/>
            </w:pPr>
            <w:r>
              <w:lastRenderedPageBreak/>
              <w:t>Item 7</w:t>
            </w:r>
          </w:p>
        </w:tc>
        <w:tc>
          <w:tcPr>
            <w:tcW w:w="523" w:type="pct"/>
            <w:shd w:val="clear" w:color="auto" w:fill="auto"/>
          </w:tcPr>
          <w:p w:rsidR="007C0A13" w:rsidP="00CE55BF" w:rsidRDefault="007C0A13" w14:paraId="61D0D80E" w14:textId="77777777">
            <w:pPr>
              <w:pStyle w:val="BodyText"/>
              <w:spacing w:after="120"/>
              <w:jc w:val="center"/>
            </w:pPr>
          </w:p>
        </w:tc>
        <w:tc>
          <w:tcPr>
            <w:tcW w:w="1951" w:type="pct"/>
            <w:shd w:val="clear" w:color="auto" w:fill="auto"/>
          </w:tcPr>
          <w:p w:rsidRPr="00E47B30" w:rsidR="007C0A13" w:rsidP="00CE55BF" w:rsidRDefault="007C0A13" w14:paraId="23FD6ED3" w14:textId="7DE260CA">
            <w:pPr>
              <w:pStyle w:val="BodyText"/>
            </w:pPr>
            <w:r w:rsidRPr="00E47B30">
              <w:t>If action is to be taken with respect to the election of directors, furnish the following information</w:t>
            </w:r>
            <w:r>
              <w:t xml:space="preserve"> in paragraphs (a) </w:t>
            </w:r>
            <w:r w:rsidR="007E49F4">
              <w:t xml:space="preserve">through </w:t>
            </w:r>
            <w:r>
              <w:t>(</w:t>
            </w:r>
            <w:r w:rsidR="007E49F4">
              <w:t>f</w:t>
            </w:r>
            <w:r>
              <w:t>)</w:t>
            </w:r>
            <w:r w:rsidR="00957411">
              <w:t xml:space="preserve"> </w:t>
            </w:r>
            <w:r>
              <w:t>below</w:t>
            </w:r>
            <w:r w:rsidRPr="00E47B30">
              <w:t xml:space="preserve"> in tabular form to the extent practicable</w:t>
            </w:r>
            <w:r>
              <w:t>.</w:t>
            </w:r>
            <w:r w:rsidR="00957411">
              <w:t xml:space="preserve"> The disclosure required by paragraphs (c) and (d) for proxy access, paragraph (e) for investment companies, and paragraph (f) for proxy contests is typically not required in a proxy statement for an annual meeting.</w:t>
            </w:r>
          </w:p>
        </w:tc>
        <w:tc>
          <w:tcPr>
            <w:tcW w:w="931" w:type="pct"/>
          </w:tcPr>
          <w:p w:rsidRPr="00414307" w:rsidR="007C0A13" w:rsidP="00CE55BF" w:rsidRDefault="007C0A13" w14:paraId="4C91510B" w14:textId="77777777">
            <w:pPr>
              <w:pStyle w:val="BodyText"/>
            </w:pPr>
          </w:p>
        </w:tc>
        <w:tc>
          <w:tcPr>
            <w:tcW w:w="561" w:type="pct"/>
          </w:tcPr>
          <w:p w:rsidRPr="007E0B55" w:rsidR="007C0A13" w:rsidP="00CE55BF" w:rsidRDefault="007C0A13" w14:paraId="7DDEFC44" w14:textId="77777777">
            <w:pPr>
              <w:pStyle w:val="BodyText"/>
              <w:contextualSpacing/>
              <w:rPr>
                <w:sz w:val="20"/>
                <w:u w:val="single"/>
              </w:rPr>
            </w:pPr>
          </w:p>
        </w:tc>
        <w:tc>
          <w:tcPr>
            <w:tcW w:w="344" w:type="pct"/>
            <w:vAlign w:val="center"/>
          </w:tcPr>
          <w:p w:rsidRPr="00E47B30" w:rsidR="007C0A13" w:rsidP="00CE55BF" w:rsidRDefault="007C0A13" w14:paraId="6E80C4C5" w14:textId="77777777">
            <w:pPr>
              <w:spacing w:after="0"/>
              <w:jc w:val="center"/>
              <w:rPr>
                <w:szCs w:val="22"/>
              </w:rPr>
            </w:pPr>
          </w:p>
        </w:tc>
      </w:tr>
      <w:tr w:rsidRPr="00E47B30" w:rsidR="00CE55BF" w:rsidTr="00E708F1" w14:paraId="5294FFE6" w14:textId="77777777">
        <w:trPr>
          <w:cantSplit/>
          <w:jc w:val="center"/>
        </w:trPr>
        <w:tc>
          <w:tcPr>
            <w:tcW w:w="690" w:type="pct"/>
            <w:shd w:val="clear" w:color="auto" w:fill="auto"/>
          </w:tcPr>
          <w:p w:rsidRPr="00E47B30" w:rsidR="00CE55BF" w:rsidP="00CE55BF" w:rsidRDefault="00CE55BF" w14:paraId="1EADA95D" w14:textId="7E0FF296">
            <w:pPr>
              <w:pStyle w:val="BodyText"/>
              <w:spacing w:after="120"/>
            </w:pPr>
            <w:r>
              <w:t>I</w:t>
            </w:r>
            <w:r w:rsidRPr="00E47B30">
              <w:t>tem 7(a)</w:t>
            </w:r>
          </w:p>
        </w:tc>
        <w:tc>
          <w:tcPr>
            <w:tcW w:w="523" w:type="pct"/>
            <w:shd w:val="clear" w:color="auto" w:fill="auto"/>
          </w:tcPr>
          <w:p w:rsidRPr="00E47B30" w:rsidR="00CE55BF" w:rsidP="00CE55BF" w:rsidRDefault="000D00E3" w14:paraId="07470EEF" w14:textId="1374D4CD">
            <w:pPr>
              <w:pStyle w:val="BodyText"/>
              <w:spacing w:after="120"/>
              <w:jc w:val="center"/>
            </w:pPr>
            <w:hyperlink w:history="1" w:anchor="229.103" r:id="rId35">
              <w:r w:rsidRPr="00E47B30" w:rsidR="00CE55BF">
                <w:rPr>
                  <w:rStyle w:val="Hyperlink"/>
                </w:rPr>
                <w:t>Item 103</w:t>
              </w:r>
            </w:hyperlink>
          </w:p>
        </w:tc>
        <w:tc>
          <w:tcPr>
            <w:tcW w:w="1951" w:type="pct"/>
            <w:shd w:val="clear" w:color="auto" w:fill="auto"/>
          </w:tcPr>
          <w:p w:rsidR="001915CB" w:rsidP="00CE55BF" w:rsidRDefault="00063B62" w14:paraId="19C0B3AD" w14:textId="77777777">
            <w:pPr>
              <w:pStyle w:val="BodyText"/>
            </w:pPr>
            <w:r>
              <w:t xml:space="preserve">Provide the </w:t>
            </w:r>
            <w:r w:rsidRPr="00E47B30" w:rsidR="00CE55BF">
              <w:t xml:space="preserve">information required by </w:t>
            </w:r>
            <w:hyperlink w:history="1" w:anchor="229.103" r:id="rId36">
              <w:r w:rsidRPr="00361A90" w:rsidR="00CE55BF">
                <w:rPr>
                  <w:rStyle w:val="Hyperlink"/>
                </w:rPr>
                <w:t>Item 103(c)(2)</w:t>
              </w:r>
            </w:hyperlink>
            <w:r w:rsidRPr="00E47B30" w:rsidR="00CE55BF">
              <w:t xml:space="preserve"> of Regulation S</w:t>
            </w:r>
            <w:r w:rsidR="00E97B68">
              <w:noBreakHyphen/>
            </w:r>
            <w:r w:rsidRPr="00E47B30" w:rsidR="00CE55BF">
              <w:t>K with respect to directors and executive officers</w:t>
            </w:r>
            <w:r w:rsidR="001915CB">
              <w:t>:</w:t>
            </w:r>
          </w:p>
          <w:p w:rsidR="001915CB" w:rsidP="00CE55BF" w:rsidRDefault="001915CB" w14:paraId="119B7B98" w14:textId="74D9D6CC">
            <w:pPr>
              <w:pStyle w:val="BodyText"/>
            </w:pPr>
            <w:r>
              <w:t>Disclose a</w:t>
            </w:r>
            <w:r w:rsidRPr="001915CB">
              <w:t xml:space="preserve">ny material proceedings to which any director, officer or affiliate of the </w:t>
            </w:r>
            <w:r>
              <w:t>company</w:t>
            </w:r>
            <w:r w:rsidRPr="001915CB">
              <w:t xml:space="preserve">, any owner of record or beneficially of more than five percent of any class of voting securities of the </w:t>
            </w:r>
            <w:r>
              <w:t>company</w:t>
            </w:r>
            <w:r w:rsidRPr="001915CB">
              <w:t xml:space="preserve">, or any associate of any such director, officer, affiliate of the </w:t>
            </w:r>
            <w:r>
              <w:t>company</w:t>
            </w:r>
            <w:r w:rsidRPr="001915CB">
              <w:t xml:space="preserve">, or security holder is a party adverse to the </w:t>
            </w:r>
            <w:r>
              <w:t>company</w:t>
            </w:r>
            <w:r w:rsidRPr="001915CB">
              <w:t xml:space="preserve"> or any of its subsidiaries or has a material interest adverse to the </w:t>
            </w:r>
            <w:r>
              <w:t>company</w:t>
            </w:r>
            <w:r w:rsidRPr="001915CB">
              <w:t xml:space="preserve"> or any of its subsidiaries</w:t>
            </w:r>
          </w:p>
          <w:p w:rsidRPr="00E47B30" w:rsidR="00CE55BF" w:rsidP="00CE55BF" w:rsidRDefault="00CE55BF" w14:paraId="4C14A401" w14:textId="33DECD19">
            <w:pPr>
              <w:pStyle w:val="BodyText"/>
            </w:pPr>
            <w:r>
              <w:rPr>
                <w:i/>
                <w:iCs/>
              </w:rPr>
              <w:t>Confirm that this disclosure</w:t>
            </w:r>
            <w:r w:rsidR="001915CB">
              <w:rPr>
                <w:i/>
                <w:iCs/>
              </w:rPr>
              <w:t>, if any,</w:t>
            </w:r>
            <w:r>
              <w:rPr>
                <w:i/>
                <w:iCs/>
              </w:rPr>
              <w:t xml:space="preserve"> is accurate.</w:t>
            </w:r>
          </w:p>
        </w:tc>
        <w:tc>
          <w:tcPr>
            <w:tcW w:w="931" w:type="pct"/>
          </w:tcPr>
          <w:p w:rsidRPr="00414307" w:rsidR="00CE55BF" w:rsidP="00CE55BF" w:rsidRDefault="00CE55BF" w14:paraId="4EE48CE5" w14:textId="30E1C2BA">
            <w:pPr>
              <w:pStyle w:val="BodyText"/>
            </w:pPr>
          </w:p>
        </w:tc>
        <w:tc>
          <w:tcPr>
            <w:tcW w:w="561" w:type="pct"/>
          </w:tcPr>
          <w:p w:rsidRPr="007E0B55" w:rsidR="00CE55BF" w:rsidP="00CE55BF" w:rsidRDefault="00CE55BF" w14:paraId="30FE1D23" w14:textId="77777777">
            <w:pPr>
              <w:pStyle w:val="BodyText"/>
              <w:contextualSpacing/>
              <w:rPr>
                <w:sz w:val="20"/>
                <w:u w:val="single"/>
              </w:rPr>
            </w:pPr>
          </w:p>
        </w:tc>
        <w:tc>
          <w:tcPr>
            <w:tcW w:w="344" w:type="pct"/>
            <w:vAlign w:val="center"/>
          </w:tcPr>
          <w:p w:rsidRPr="00E47B30" w:rsidR="00CE55BF" w:rsidP="00CE55BF" w:rsidRDefault="00CE55BF" w14:paraId="7DF031BF"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CE55BF" w:rsidP="00CE55BF" w:rsidRDefault="00CE55BF" w14:paraId="1FB0896E" w14:textId="02B1712A">
            <w:pPr>
              <w:pStyle w:val="BodyText"/>
              <w:spacing w:after="0"/>
              <w:jc w:val="center"/>
              <w:rPr>
                <w:u w:val="single"/>
              </w:rPr>
            </w:pPr>
            <w:r w:rsidRPr="00E47B30">
              <w:rPr>
                <w:szCs w:val="22"/>
              </w:rPr>
              <w:t xml:space="preserve">No  </w:t>
            </w:r>
            <w:r w:rsidRPr="00E47B30">
              <w:rPr>
                <w:rFonts w:ascii="Segoe UI Symbol" w:hAnsi="Segoe UI Symbol" w:eastAsia="MS Gothic" w:cs="Segoe UI Symbol"/>
                <w:szCs w:val="22"/>
              </w:rPr>
              <w:t>☐</w:t>
            </w:r>
          </w:p>
        </w:tc>
      </w:tr>
      <w:tr w:rsidRPr="00E47B30" w:rsidR="00CE55BF" w:rsidTr="00E708F1" w14:paraId="44837F3C" w14:textId="77777777">
        <w:trPr>
          <w:cantSplit/>
          <w:jc w:val="center"/>
        </w:trPr>
        <w:tc>
          <w:tcPr>
            <w:tcW w:w="690" w:type="pct"/>
            <w:shd w:val="clear" w:color="auto" w:fill="auto"/>
          </w:tcPr>
          <w:p w:rsidRPr="00E47B30" w:rsidR="00CE55BF" w:rsidP="00CE55BF" w:rsidRDefault="00CE55BF" w14:paraId="6B2D6DFB" w14:textId="4BEFBADA">
            <w:pPr>
              <w:pStyle w:val="BodyText"/>
              <w:spacing w:after="120"/>
            </w:pPr>
            <w:r>
              <w:lastRenderedPageBreak/>
              <w:t>Item 7(b)</w:t>
            </w:r>
          </w:p>
        </w:tc>
        <w:tc>
          <w:tcPr>
            <w:tcW w:w="523" w:type="pct"/>
            <w:shd w:val="clear" w:color="auto" w:fill="auto"/>
          </w:tcPr>
          <w:p w:rsidR="00CE55BF" w:rsidP="00CE55BF" w:rsidRDefault="000D00E3" w14:paraId="373914D7" w14:textId="77777777">
            <w:pPr>
              <w:pStyle w:val="BodyText"/>
              <w:spacing w:after="120"/>
              <w:jc w:val="center"/>
            </w:pPr>
            <w:hyperlink w:history="1" w:anchor="229.401" r:id="rId37">
              <w:r w:rsidRPr="00361A90" w:rsidR="00CE55BF">
                <w:rPr>
                  <w:rStyle w:val="Hyperlink"/>
                </w:rPr>
                <w:t>Item 401</w:t>
              </w:r>
            </w:hyperlink>
          </w:p>
          <w:p w:rsidR="00CE55BF" w:rsidP="00CE55BF" w:rsidRDefault="000D00E3" w14:paraId="7C895A41" w14:textId="1F360BBF">
            <w:pPr>
              <w:pStyle w:val="BodyText"/>
              <w:spacing w:after="120"/>
              <w:jc w:val="center"/>
            </w:pPr>
            <w:hyperlink w:history="1" w:anchor="229.404" r:id="rId38">
              <w:r w:rsidRPr="00361A90" w:rsidR="00CE55BF">
                <w:rPr>
                  <w:rStyle w:val="Hyperlink"/>
                </w:rPr>
                <w:t>Item 404(a) and (b)</w:t>
              </w:r>
            </w:hyperlink>
          </w:p>
          <w:p w:rsidR="00CE55BF" w:rsidP="00CE55BF" w:rsidRDefault="000D00E3" w14:paraId="196A0030" w14:textId="1295FDCB">
            <w:pPr>
              <w:pStyle w:val="BodyText"/>
              <w:spacing w:after="120"/>
              <w:jc w:val="center"/>
            </w:pPr>
            <w:hyperlink w:history="1" w:anchor="229.405" r:id="rId39">
              <w:r w:rsidRPr="00361A90" w:rsidR="00CE55BF">
                <w:rPr>
                  <w:rStyle w:val="Hyperlink"/>
                </w:rPr>
                <w:t>Item 405</w:t>
              </w:r>
            </w:hyperlink>
          </w:p>
          <w:p w:rsidRPr="00E47B30" w:rsidR="00CE55BF" w:rsidP="00CE55BF" w:rsidRDefault="000D00E3" w14:paraId="48E12BE5" w14:textId="27D7B5E6">
            <w:pPr>
              <w:pStyle w:val="BodyText"/>
              <w:spacing w:after="120"/>
              <w:jc w:val="center"/>
            </w:pPr>
            <w:hyperlink w:history="1" w:anchor="229.407" r:id="rId40">
              <w:r w:rsidRPr="00361A90" w:rsidR="00CE55BF">
                <w:rPr>
                  <w:rStyle w:val="Hyperlink"/>
                </w:rPr>
                <w:t>Item 407</w:t>
              </w:r>
            </w:hyperlink>
          </w:p>
        </w:tc>
        <w:tc>
          <w:tcPr>
            <w:tcW w:w="1951" w:type="pct"/>
            <w:shd w:val="clear" w:color="auto" w:fill="auto"/>
          </w:tcPr>
          <w:p w:rsidR="00B338F4" w:rsidP="00CE55BF" w:rsidRDefault="00E97B68" w14:paraId="0CAB743F" w14:textId="300C3BCE">
            <w:pPr>
              <w:pStyle w:val="BodyText"/>
            </w:pPr>
            <w:r>
              <w:t>Provide the</w:t>
            </w:r>
            <w:r w:rsidRPr="00E47B30" w:rsidR="00CE55BF">
              <w:t xml:space="preserve"> information required by </w:t>
            </w:r>
            <w:hyperlink w:history="1" w:anchor="229.401" r:id="rId41">
              <w:r w:rsidRPr="00361A90" w:rsidR="00CE55BF">
                <w:rPr>
                  <w:rStyle w:val="Hyperlink"/>
                </w:rPr>
                <w:t>Item 401</w:t>
              </w:r>
            </w:hyperlink>
            <w:r w:rsidRPr="00E47B30" w:rsidR="00CE55BF">
              <w:t xml:space="preserve">, </w:t>
            </w:r>
            <w:hyperlink w:history="1" w:anchor="229.404" r:id="rId42">
              <w:r w:rsidRPr="00361A90" w:rsidR="00CE55BF">
                <w:rPr>
                  <w:rStyle w:val="Hyperlink"/>
                </w:rPr>
                <w:t>Item 404(a) and (b)</w:t>
              </w:r>
            </w:hyperlink>
            <w:r w:rsidRPr="00E47B30" w:rsidR="00CE55BF">
              <w:t xml:space="preserve">, </w:t>
            </w:r>
            <w:hyperlink w:history="1" w:anchor="229.405" r:id="rId43">
              <w:r w:rsidRPr="00361A90" w:rsidR="00CE55BF">
                <w:rPr>
                  <w:rStyle w:val="Hyperlink"/>
                </w:rPr>
                <w:t>Item 405</w:t>
              </w:r>
            </w:hyperlink>
            <w:r w:rsidRPr="00E47B30" w:rsidR="00CE55BF">
              <w:t xml:space="preserve"> and </w:t>
            </w:r>
            <w:hyperlink w:history="1" w:anchor="229.407" r:id="rId44">
              <w:r w:rsidRPr="00361A90" w:rsidR="00CE55BF">
                <w:rPr>
                  <w:rStyle w:val="Hyperlink"/>
                </w:rPr>
                <w:t>Item 407</w:t>
              </w:r>
            </w:hyperlink>
            <w:r w:rsidRPr="00E47B30" w:rsidR="00CE55BF">
              <w:t xml:space="preserve"> of Regulation S-K</w:t>
            </w:r>
            <w:r w:rsidR="00160DA3">
              <w:t>, with the following exceptions:</w:t>
            </w:r>
          </w:p>
          <w:p w:rsidR="00BC2663" w:rsidP="00160DA3" w:rsidRDefault="00B338F4" w14:paraId="1C99A7A8" w14:textId="28E9727E">
            <w:pPr>
              <w:pStyle w:val="BodyText"/>
              <w:numPr>
                <w:ilvl w:val="0"/>
                <w:numId w:val="40"/>
              </w:numPr>
            </w:pPr>
            <w:r>
              <w:t>Schedule 14A does not</w:t>
            </w:r>
            <w:r w:rsidR="00BC2663">
              <w:t xml:space="preserve"> </w:t>
            </w:r>
            <w:r>
              <w:t xml:space="preserve">require </w:t>
            </w:r>
            <w:r w:rsidRPr="00E47B30" w:rsidR="00CE55BF">
              <w:t>the information required by</w:t>
            </w:r>
            <w:r w:rsidR="00160DA3">
              <w:t xml:space="preserve"> I</w:t>
            </w:r>
            <w:r w:rsidR="00BC2663">
              <w:t>tem 407</w:t>
            </w:r>
            <w:r w:rsidRPr="00E47B30" w:rsidR="00CE55BF">
              <w:t>(c)(3)</w:t>
            </w:r>
            <w:r w:rsidR="00BC2663">
              <w:t xml:space="preserve"> [material changes in procedures for director nominations made by security holders], </w:t>
            </w:r>
            <w:r w:rsidR="00740AC2">
              <w:t>which is required by Form 10-K Item 10 and which cannot be incorporated by reference from the company’s definitive proxy statement</w:t>
            </w:r>
            <w:r w:rsidR="00160DA3">
              <w:t>.</w:t>
            </w:r>
          </w:p>
          <w:p w:rsidR="00CE55BF" w:rsidP="00160DA3" w:rsidRDefault="00BC2663" w14:paraId="45CE2544" w14:textId="0288AB44">
            <w:pPr>
              <w:pStyle w:val="BodyText"/>
              <w:numPr>
                <w:ilvl w:val="0"/>
                <w:numId w:val="40"/>
              </w:numPr>
            </w:pPr>
            <w:r>
              <w:t>Item 7(b) does not require the information required by Item 407</w:t>
            </w:r>
            <w:r w:rsidRPr="00E47B30" w:rsidR="00CE55BF">
              <w:t xml:space="preserve">(e)(4) </w:t>
            </w:r>
            <w:r w:rsidR="00AC030F">
              <w:t xml:space="preserve">[compensation committee interlocks and insider participation] </w:t>
            </w:r>
            <w:r w:rsidRPr="00E47B30" w:rsidR="00CE55BF">
              <w:t>and (e)(5)</w:t>
            </w:r>
            <w:r w:rsidR="00AC030F">
              <w:t xml:space="preserve"> [compensation committee report]</w:t>
            </w:r>
            <w:r>
              <w:t>,</w:t>
            </w:r>
            <w:r w:rsidR="00B338F4">
              <w:t xml:space="preserve"> </w:t>
            </w:r>
            <w:r w:rsidRPr="00E47B30" w:rsidR="00CE55BF">
              <w:t>which are required by Item 8 of</w:t>
            </w:r>
            <w:r>
              <w:t xml:space="preserve"> the proxy statement.</w:t>
            </w:r>
            <w:r w:rsidRPr="00E47B30" w:rsidR="00CE55BF">
              <w:t xml:space="preserve"> </w:t>
            </w:r>
          </w:p>
          <w:p w:rsidRPr="00E47B30" w:rsidR="00CE55BF" w:rsidP="00CE55BF" w:rsidRDefault="00CE55BF" w14:paraId="015DD7D2" w14:textId="533FA81E">
            <w:pPr>
              <w:pStyle w:val="BodyText"/>
            </w:pPr>
            <w:r>
              <w:rPr>
                <w:i/>
                <w:iCs/>
              </w:rPr>
              <w:t>Confirm that this disclosure is accurate.</w:t>
            </w:r>
            <w:r w:rsidR="005E68D6">
              <w:rPr>
                <w:i/>
                <w:iCs/>
              </w:rPr>
              <w:t xml:space="preserve"> </w:t>
            </w:r>
            <w:r w:rsidR="00DC0EAC">
              <w:rPr>
                <w:i/>
                <w:iCs/>
              </w:rPr>
              <w:t>The summaries below are</w:t>
            </w:r>
            <w:r w:rsidR="00212212">
              <w:rPr>
                <w:i/>
                <w:iCs/>
              </w:rPr>
              <w:t xml:space="preserve"> provided fo</w:t>
            </w:r>
            <w:r w:rsidR="005E68D6">
              <w:rPr>
                <w:i/>
                <w:iCs/>
              </w:rPr>
              <w:t xml:space="preserve">r </w:t>
            </w:r>
            <w:r w:rsidR="00DC0EAC">
              <w:rPr>
                <w:i/>
                <w:iCs/>
              </w:rPr>
              <w:t>convenience</w:t>
            </w:r>
            <w:r w:rsidR="005E68D6">
              <w:rPr>
                <w:i/>
                <w:iCs/>
              </w:rPr>
              <w:t xml:space="preserve">. </w:t>
            </w:r>
            <w:r w:rsidR="00212212">
              <w:rPr>
                <w:b/>
                <w:bCs/>
                <w:i/>
                <w:iCs/>
              </w:rPr>
              <w:t>You</w:t>
            </w:r>
            <w:r w:rsidR="00DC0EAC">
              <w:rPr>
                <w:i/>
                <w:iCs/>
              </w:rPr>
              <w:t xml:space="preserve"> </w:t>
            </w:r>
            <w:r w:rsidRPr="00212212" w:rsidR="00DC0EAC">
              <w:rPr>
                <w:b/>
                <w:bCs/>
                <w:i/>
                <w:iCs/>
              </w:rPr>
              <w:t xml:space="preserve">should not </w:t>
            </w:r>
            <w:r w:rsidR="00212212">
              <w:rPr>
                <w:b/>
                <w:bCs/>
                <w:i/>
                <w:iCs/>
              </w:rPr>
              <w:t>rely on these summaries when performing</w:t>
            </w:r>
            <w:r w:rsidRPr="00212212" w:rsidR="00DC0EAC">
              <w:rPr>
                <w:b/>
                <w:bCs/>
                <w:i/>
                <w:iCs/>
              </w:rPr>
              <w:t xml:space="preserve"> a form check.</w:t>
            </w:r>
          </w:p>
        </w:tc>
        <w:tc>
          <w:tcPr>
            <w:tcW w:w="931" w:type="pct"/>
          </w:tcPr>
          <w:p w:rsidRPr="00414307" w:rsidR="00DC0EAC" w:rsidP="00CE55BF" w:rsidRDefault="00DC0EAC" w14:paraId="082D4EC9" w14:textId="2038923C">
            <w:pPr>
              <w:pStyle w:val="BodyText"/>
            </w:pPr>
          </w:p>
        </w:tc>
        <w:tc>
          <w:tcPr>
            <w:tcW w:w="561" w:type="pct"/>
          </w:tcPr>
          <w:p w:rsidRPr="007E0B55" w:rsidR="00CE55BF" w:rsidP="00CE55BF" w:rsidRDefault="00CE55BF" w14:paraId="4D34310A" w14:textId="77777777">
            <w:pPr>
              <w:pStyle w:val="BodyText"/>
              <w:contextualSpacing/>
              <w:rPr>
                <w:sz w:val="20"/>
                <w:u w:val="single"/>
              </w:rPr>
            </w:pPr>
          </w:p>
        </w:tc>
        <w:tc>
          <w:tcPr>
            <w:tcW w:w="344" w:type="pct"/>
            <w:vAlign w:val="center"/>
          </w:tcPr>
          <w:p w:rsidRPr="00E47B30" w:rsidR="00CE55BF" w:rsidP="00CE55BF" w:rsidRDefault="00CE55BF" w14:paraId="306BF5AB"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CE55BF" w:rsidP="00CE55BF" w:rsidRDefault="00CE55BF" w14:paraId="664A1E91" w14:textId="38BC6D8C">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212212" w:rsidTr="00E708F1" w14:paraId="424E0EC4" w14:textId="77777777">
        <w:trPr>
          <w:cantSplit/>
          <w:jc w:val="center"/>
        </w:trPr>
        <w:tc>
          <w:tcPr>
            <w:tcW w:w="690" w:type="pct"/>
            <w:shd w:val="clear" w:color="auto" w:fill="auto"/>
          </w:tcPr>
          <w:p w:rsidR="00212212" w:rsidP="00E708F1" w:rsidRDefault="007C0A13" w14:paraId="061A2666" w14:textId="72F0BA7B">
            <w:pPr>
              <w:pStyle w:val="BodyText"/>
              <w:spacing w:after="120"/>
            </w:pPr>
            <w:r w:rsidRPr="00E47B30">
              <w:lastRenderedPageBreak/>
              <w:t>[Identification and biographical information of directors/nominees and executive officers]</w:t>
            </w:r>
          </w:p>
        </w:tc>
        <w:tc>
          <w:tcPr>
            <w:tcW w:w="523" w:type="pct"/>
            <w:shd w:val="clear" w:color="auto" w:fill="auto"/>
          </w:tcPr>
          <w:p w:rsidR="00212212" w:rsidP="00212212" w:rsidRDefault="00212212" w14:paraId="343FD5EC" w14:textId="77777777">
            <w:pPr>
              <w:pStyle w:val="BodyText"/>
              <w:spacing w:after="120"/>
              <w:jc w:val="center"/>
            </w:pPr>
          </w:p>
        </w:tc>
        <w:tc>
          <w:tcPr>
            <w:tcW w:w="1951" w:type="pct"/>
            <w:shd w:val="clear" w:color="auto" w:fill="auto"/>
          </w:tcPr>
          <w:p w:rsidR="00212212" w:rsidP="00212212" w:rsidRDefault="000D00E3" w14:paraId="0D5A7BC2" w14:textId="1081C9FD">
            <w:pPr>
              <w:pStyle w:val="BodyText"/>
            </w:pPr>
            <w:hyperlink w:history="1" w:anchor="229.401" r:id="rId45">
              <w:r w:rsidRPr="00212212" w:rsidR="00212212">
                <w:rPr>
                  <w:rStyle w:val="Hyperlink"/>
                </w:rPr>
                <w:t>Item 401</w:t>
              </w:r>
            </w:hyperlink>
            <w:r w:rsidR="00212212">
              <w:t xml:space="preserve"> (Summary)</w:t>
            </w:r>
          </w:p>
          <w:p w:rsidRPr="00DC0EAC" w:rsidR="00212212" w:rsidP="00212212" w:rsidRDefault="00212212" w14:paraId="2FCAA781" w14:textId="77777777">
            <w:pPr>
              <w:pStyle w:val="BodyText"/>
            </w:pPr>
            <w:r w:rsidRPr="00DC0EAC">
              <w:t>Provide specified information concerning executive officers, directors and nominees.</w:t>
            </w:r>
          </w:p>
          <w:p w:rsidRPr="00DC0EAC" w:rsidR="00212212" w:rsidP="00212212" w:rsidRDefault="00212212" w14:paraId="0C88C181" w14:textId="77777777">
            <w:pPr>
              <w:pStyle w:val="BodyText"/>
            </w:pPr>
            <w:r w:rsidRPr="00DC0EAC">
              <w:t xml:space="preserve">SEC disclosure rules require disclosure for directors and nominees that includes </w:t>
            </w:r>
          </w:p>
          <w:p w:rsidRPr="00DC0EAC" w:rsidR="00212212" w:rsidP="00877DC4" w:rsidRDefault="00212212" w14:paraId="757429D5" w14:textId="244F2B31">
            <w:pPr>
              <w:pStyle w:val="ListBullet"/>
            </w:pPr>
            <w:r w:rsidRPr="00DC0EAC">
              <w:t xml:space="preserve">their specific experience, qualifications, attributes or skills that relate to their service as a director, </w:t>
            </w:r>
          </w:p>
          <w:p w:rsidRPr="00DC0EAC" w:rsidR="00212212" w:rsidP="00877DC4" w:rsidRDefault="00212212" w14:paraId="0475C486" w14:textId="04D50711">
            <w:pPr>
              <w:pStyle w:val="ListBullet"/>
            </w:pPr>
            <w:r w:rsidRPr="00DC0EAC">
              <w:t>public company directorships held during the past five years</w:t>
            </w:r>
            <w:r>
              <w:t xml:space="preserve">, </w:t>
            </w:r>
            <w:r w:rsidRPr="00DC0EAC">
              <w:t xml:space="preserve">and </w:t>
            </w:r>
          </w:p>
          <w:p w:rsidRPr="00E47B30" w:rsidR="00212212" w:rsidP="00877DC4" w:rsidRDefault="00212212" w14:paraId="0FFE816C" w14:textId="5C78D78D">
            <w:pPr>
              <w:pStyle w:val="ListBullet"/>
            </w:pPr>
            <w:r w:rsidRPr="00DC0EAC">
              <w:t xml:space="preserve">disclosure of legal proceedings </w:t>
            </w:r>
            <w:r>
              <w:t>during</w:t>
            </w:r>
            <w:r w:rsidRPr="00DC0EAC">
              <w:t xml:space="preserve"> the past </w:t>
            </w:r>
            <w:r w:rsidRPr="00DC0EAC">
              <w:rPr>
                <w:u w:val="single"/>
              </w:rPr>
              <w:t>ten</w:t>
            </w:r>
            <w:r w:rsidRPr="00DC0EAC">
              <w:t xml:space="preserve"> years.</w:t>
            </w:r>
          </w:p>
        </w:tc>
        <w:tc>
          <w:tcPr>
            <w:tcW w:w="931" w:type="pct"/>
          </w:tcPr>
          <w:p w:rsidR="00212212" w:rsidP="00212212" w:rsidRDefault="00212212" w14:paraId="31B7D909" w14:textId="77777777">
            <w:pPr>
              <w:pStyle w:val="BodyText"/>
            </w:pPr>
          </w:p>
        </w:tc>
        <w:tc>
          <w:tcPr>
            <w:tcW w:w="561" w:type="pct"/>
          </w:tcPr>
          <w:p w:rsidRPr="007E0B55" w:rsidR="00212212" w:rsidP="00212212" w:rsidRDefault="00212212" w14:paraId="750E0F13" w14:textId="77777777">
            <w:pPr>
              <w:pStyle w:val="BodyText"/>
              <w:contextualSpacing/>
              <w:rPr>
                <w:sz w:val="20"/>
                <w:u w:val="single"/>
              </w:rPr>
            </w:pPr>
          </w:p>
        </w:tc>
        <w:tc>
          <w:tcPr>
            <w:tcW w:w="344" w:type="pct"/>
            <w:vAlign w:val="center"/>
          </w:tcPr>
          <w:p w:rsidRPr="00E47B30" w:rsidR="00212212" w:rsidP="00212212" w:rsidRDefault="00212212" w14:paraId="758D2B02"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212212" w:rsidP="00212212" w:rsidRDefault="00212212" w14:paraId="37653FD1" w14:textId="43B7DD65">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2C0FE82C" w14:textId="77777777">
        <w:trPr>
          <w:cantSplit/>
          <w:jc w:val="center"/>
        </w:trPr>
        <w:tc>
          <w:tcPr>
            <w:tcW w:w="690" w:type="pct"/>
            <w:shd w:val="clear" w:color="auto" w:fill="auto"/>
          </w:tcPr>
          <w:p w:rsidRPr="00E47B30" w:rsidR="000459BE" w:rsidP="000459BE" w:rsidRDefault="000459BE" w14:paraId="2622D07C" w14:textId="77777777">
            <w:pPr>
              <w:pStyle w:val="BodyText"/>
              <w:spacing w:after="120"/>
            </w:pPr>
          </w:p>
        </w:tc>
        <w:tc>
          <w:tcPr>
            <w:tcW w:w="523" w:type="pct"/>
            <w:shd w:val="clear" w:color="auto" w:fill="auto"/>
          </w:tcPr>
          <w:p w:rsidR="000459BE" w:rsidP="000459BE" w:rsidRDefault="000459BE" w14:paraId="20A4FDFD" w14:textId="77777777">
            <w:pPr>
              <w:pStyle w:val="BodyText"/>
              <w:spacing w:after="120"/>
              <w:jc w:val="center"/>
            </w:pPr>
          </w:p>
        </w:tc>
        <w:tc>
          <w:tcPr>
            <w:tcW w:w="1951" w:type="pct"/>
            <w:shd w:val="clear" w:color="auto" w:fill="auto"/>
          </w:tcPr>
          <w:p w:rsidRPr="000D6244" w:rsidR="000459BE" w:rsidP="000459BE" w:rsidRDefault="00AF564E" w14:paraId="3DA3BFA2" w14:textId="32C0AF5A">
            <w:pPr>
              <w:pStyle w:val="BodyText"/>
              <w:rPr>
                <w:b/>
                <w:bCs/>
              </w:rPr>
            </w:pPr>
            <w:r>
              <w:rPr>
                <w:b/>
                <w:bCs/>
              </w:rPr>
              <w:t>The p</w:t>
            </w:r>
            <w:r w:rsidRPr="000D6244" w:rsidR="000459BE">
              <w:rPr>
                <w:b/>
                <w:bCs/>
              </w:rPr>
              <w:t xml:space="preserve">roxy statement can omit </w:t>
            </w:r>
            <w:r w:rsidR="000459BE">
              <w:rPr>
                <w:b/>
                <w:bCs/>
              </w:rPr>
              <w:t xml:space="preserve">executive officer </w:t>
            </w:r>
            <w:r w:rsidRPr="000D6244" w:rsidR="000459BE">
              <w:rPr>
                <w:b/>
                <w:bCs/>
              </w:rPr>
              <w:t>Item 401 information if included in Part I of Form 10-K under caption “Information about our Executive Officers”</w:t>
            </w:r>
          </w:p>
          <w:p w:rsidR="000459BE" w:rsidP="000459BE" w:rsidRDefault="000459BE" w14:paraId="013E3556" w14:textId="77777777">
            <w:pPr>
              <w:pStyle w:val="BodyText"/>
            </w:pPr>
            <w:r w:rsidRPr="001915CB">
              <w:t xml:space="preserve">The information regarding </w:t>
            </w:r>
            <w:r w:rsidRPr="000459BE">
              <w:rPr>
                <w:b/>
                <w:bCs/>
              </w:rPr>
              <w:t>executive officers</w:t>
            </w:r>
            <w:r w:rsidRPr="001915CB">
              <w:t xml:space="preserve"> called for by Item </w:t>
            </w:r>
            <w:r>
              <w:t xml:space="preserve">401 </w:t>
            </w:r>
            <w:r w:rsidRPr="001915CB">
              <w:t xml:space="preserve">need not be furnished in proxy or information statements prepared in accordance with Schedule 14A or Schedule </w:t>
            </w:r>
            <w:proofErr w:type="spellStart"/>
            <w:r w:rsidRPr="001915CB">
              <w:t>14C</w:t>
            </w:r>
            <w:proofErr w:type="spellEnd"/>
            <w:r w:rsidRPr="001915CB">
              <w:t xml:space="preserve"> under the Exchange Act if </w:t>
            </w:r>
            <w:r>
              <w:t>the company is</w:t>
            </w:r>
            <w:r w:rsidRPr="001915CB">
              <w:t xml:space="preserve"> relying on General Instruction G of Form 10-K</w:t>
            </w:r>
            <w:r>
              <w:t>.</w:t>
            </w:r>
          </w:p>
          <w:p w:rsidR="000459BE" w:rsidP="000459BE" w:rsidRDefault="000459BE" w14:paraId="4FF4C870" w14:textId="77777777">
            <w:pPr>
              <w:pStyle w:val="BodyText"/>
            </w:pPr>
            <w:r>
              <w:t xml:space="preserve">In this case, the company can furnish this </w:t>
            </w:r>
            <w:r w:rsidRPr="001915CB">
              <w:t xml:space="preserve">information in a separate section included in Part I of </w:t>
            </w:r>
            <w:r>
              <w:t xml:space="preserve">the company’s </w:t>
            </w:r>
            <w:r w:rsidRPr="001915CB">
              <w:t>Form 10-K</w:t>
            </w:r>
            <w:r>
              <w:t xml:space="preserve"> annual report under the required caption </w:t>
            </w:r>
            <w:r w:rsidRPr="001915CB">
              <w:t>“Information about our Executive Officers</w:t>
            </w:r>
            <w:r>
              <w:t>.”</w:t>
            </w:r>
          </w:p>
          <w:p w:rsidRPr="00155229" w:rsidR="000459BE" w:rsidP="000459BE" w:rsidRDefault="000459BE" w14:paraId="7A3E7C57" w14:textId="77777777">
            <w:pPr>
              <w:pStyle w:val="BodyText"/>
              <w:rPr>
                <w:i/>
                <w:iCs/>
              </w:rPr>
            </w:pPr>
            <w:r w:rsidRPr="00155229">
              <w:rPr>
                <w:i/>
                <w:iCs/>
              </w:rPr>
              <w:t>If the Item 401 information is not included in the proxy statement, confirm that all required Item 401 information was included in the company’s Form 10-K report in a separate section of Part I under the caption “Information about our Executive Officers.”</w:t>
            </w:r>
          </w:p>
          <w:p w:rsidRPr="000459BE" w:rsidR="000459BE" w:rsidP="000459BE" w:rsidRDefault="000459BE" w14:paraId="74B09DB0" w14:textId="1A662046">
            <w:pPr>
              <w:pStyle w:val="BodyText"/>
              <w:rPr>
                <w:i/>
                <w:iCs/>
              </w:rPr>
            </w:pPr>
            <w:r>
              <w:rPr>
                <w:i/>
                <w:iCs/>
              </w:rPr>
              <w:t xml:space="preserve">If the Item 401 disclosure about the company’s </w:t>
            </w:r>
            <w:r w:rsidRPr="00380284">
              <w:rPr>
                <w:b/>
                <w:bCs/>
                <w:i/>
                <w:iCs/>
              </w:rPr>
              <w:t>executive officers</w:t>
            </w:r>
            <w:r>
              <w:rPr>
                <w:i/>
                <w:iCs/>
              </w:rPr>
              <w:t xml:space="preserve"> is not included in the proxy statement, confirm that all required disclosure </w:t>
            </w:r>
            <w:r w:rsidR="003875AE">
              <w:rPr>
                <w:i/>
                <w:iCs/>
              </w:rPr>
              <w:t xml:space="preserve">about the company’s executive officers </w:t>
            </w:r>
            <w:r>
              <w:rPr>
                <w:i/>
                <w:iCs/>
              </w:rPr>
              <w:t>was included under the required caption</w:t>
            </w:r>
            <w:r w:rsidR="0098395A">
              <w:rPr>
                <w:i/>
                <w:iCs/>
              </w:rPr>
              <w:t xml:space="preserve"> in a separate section of Part I of the Form 10-K</w:t>
            </w:r>
            <w:r>
              <w:rPr>
                <w:i/>
                <w:iCs/>
              </w:rPr>
              <w:t>.</w:t>
            </w:r>
          </w:p>
        </w:tc>
        <w:tc>
          <w:tcPr>
            <w:tcW w:w="931" w:type="pct"/>
          </w:tcPr>
          <w:p w:rsidR="000459BE" w:rsidP="000459BE" w:rsidRDefault="000459BE" w14:paraId="369E4D6B" w14:textId="77777777">
            <w:pPr>
              <w:pStyle w:val="BodyText"/>
            </w:pPr>
          </w:p>
        </w:tc>
        <w:tc>
          <w:tcPr>
            <w:tcW w:w="561" w:type="pct"/>
          </w:tcPr>
          <w:p w:rsidRPr="007E0B55" w:rsidR="000459BE" w:rsidP="000459BE" w:rsidRDefault="000459BE" w14:paraId="720CCBAC" w14:textId="77777777">
            <w:pPr>
              <w:pStyle w:val="BodyText"/>
              <w:contextualSpacing/>
              <w:rPr>
                <w:sz w:val="20"/>
                <w:u w:val="single"/>
              </w:rPr>
            </w:pPr>
          </w:p>
        </w:tc>
        <w:tc>
          <w:tcPr>
            <w:tcW w:w="344" w:type="pct"/>
            <w:vAlign w:val="center"/>
          </w:tcPr>
          <w:p w:rsidRPr="00E47B30" w:rsidR="000459BE" w:rsidP="000459BE" w:rsidRDefault="000459BE" w14:paraId="467C51B6"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6FEE8276" w14:textId="2A57908E">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12CA998C" w14:textId="77777777">
        <w:trPr>
          <w:cantSplit/>
          <w:jc w:val="center"/>
        </w:trPr>
        <w:tc>
          <w:tcPr>
            <w:tcW w:w="690" w:type="pct"/>
            <w:shd w:val="clear" w:color="auto" w:fill="auto"/>
          </w:tcPr>
          <w:p w:rsidRPr="00E47B30" w:rsidR="000459BE" w:rsidP="000459BE" w:rsidRDefault="000459BE" w14:paraId="358E1931" w14:textId="77777777">
            <w:r w:rsidRPr="00E47B30">
              <w:lastRenderedPageBreak/>
              <w:t>[Related person transactions]</w:t>
            </w:r>
          </w:p>
          <w:p w:rsidR="000459BE" w:rsidP="000459BE" w:rsidRDefault="000459BE" w14:paraId="0BCAC444" w14:textId="182F0682">
            <w:r w:rsidRPr="00E47B30">
              <w:t>[Review, approval or ratification of transactions with related persons]</w:t>
            </w:r>
          </w:p>
        </w:tc>
        <w:tc>
          <w:tcPr>
            <w:tcW w:w="523" w:type="pct"/>
            <w:shd w:val="clear" w:color="auto" w:fill="auto"/>
          </w:tcPr>
          <w:p w:rsidR="000459BE" w:rsidP="000459BE" w:rsidRDefault="000459BE" w14:paraId="7CD81E9F" w14:textId="77777777">
            <w:pPr>
              <w:pStyle w:val="BodyText"/>
              <w:spacing w:after="120"/>
              <w:jc w:val="center"/>
            </w:pPr>
          </w:p>
        </w:tc>
        <w:tc>
          <w:tcPr>
            <w:tcW w:w="1951" w:type="pct"/>
            <w:shd w:val="clear" w:color="auto" w:fill="auto"/>
          </w:tcPr>
          <w:p w:rsidR="000459BE" w:rsidP="000459BE" w:rsidRDefault="000D00E3" w14:paraId="03B72C95" w14:textId="5B9AF5B7">
            <w:pPr>
              <w:pStyle w:val="BodyText"/>
            </w:pPr>
            <w:hyperlink w:history="1" w:anchor="229.404" r:id="rId46">
              <w:r w:rsidRPr="00212212" w:rsidR="000459BE">
                <w:rPr>
                  <w:rStyle w:val="Hyperlink"/>
                </w:rPr>
                <w:t>Item 404(a) and Item 404(b)</w:t>
              </w:r>
            </w:hyperlink>
            <w:r w:rsidR="000459BE">
              <w:t xml:space="preserve"> (Summary)</w:t>
            </w:r>
          </w:p>
          <w:p w:rsidRPr="00E47B30" w:rsidR="000459BE" w:rsidP="000459BE" w:rsidRDefault="000459BE" w14:paraId="5DF2A487" w14:textId="77777777">
            <w:pPr>
              <w:spacing w:after="240"/>
            </w:pPr>
            <w:r w:rsidRPr="00E47B30">
              <w:t>Disclose information concerning:</w:t>
            </w:r>
          </w:p>
          <w:p w:rsidRPr="00E47B30" w:rsidR="000459BE" w:rsidP="000459BE" w:rsidRDefault="000459BE" w14:paraId="409EB4A5" w14:textId="197DE8A9">
            <w:pPr>
              <w:pStyle w:val="ListBullet"/>
            </w:pPr>
            <w:r w:rsidRPr="00E47B30">
              <w:t xml:space="preserve">transactions and relationships (including indebtedness) with any person who was a </w:t>
            </w:r>
            <w:r>
              <w:t>“</w:t>
            </w:r>
            <w:r w:rsidRPr="00E47B30">
              <w:t>related person</w:t>
            </w:r>
            <w:r>
              <w:t>”</w:t>
            </w:r>
            <w:r w:rsidRPr="00E47B30">
              <w:t xml:space="preserve"> at any time since the beginning of the last fiscal year, and</w:t>
            </w:r>
          </w:p>
          <w:p w:rsidRPr="00E47B30" w:rsidR="000459BE" w:rsidP="000459BE" w:rsidRDefault="000459BE" w14:paraId="23850379" w14:textId="3A3E8F89">
            <w:pPr>
              <w:pStyle w:val="ListBullet"/>
            </w:pPr>
            <w:r w:rsidRPr="00E47B30">
              <w:t>the company</w:t>
            </w:r>
            <w:r>
              <w:t>’</w:t>
            </w:r>
            <w:r w:rsidRPr="00E47B30">
              <w:t>s policies and procedures for review and approval of such transactions and relationships.</w:t>
            </w:r>
          </w:p>
          <w:p w:rsidRPr="00E47B30" w:rsidR="000459BE" w:rsidP="000459BE" w:rsidRDefault="000459BE" w14:paraId="0A1BA344" w14:textId="28F008B2">
            <w:pPr>
              <w:pStyle w:val="BodyText"/>
            </w:pPr>
            <w:r>
              <w:rPr>
                <w:szCs w:val="24"/>
              </w:rPr>
              <w:t>“</w:t>
            </w:r>
            <w:r w:rsidRPr="00E47B30">
              <w:rPr>
                <w:szCs w:val="24"/>
              </w:rPr>
              <w:t>Related persons</w:t>
            </w:r>
            <w:r>
              <w:rPr>
                <w:szCs w:val="24"/>
              </w:rPr>
              <w:t>”</w:t>
            </w:r>
            <w:r w:rsidRPr="00E47B30">
              <w:rPr>
                <w:szCs w:val="24"/>
              </w:rPr>
              <w:t xml:space="preserve"> includes generally directors, nominees, executive officers, holders of 5% or more of any class of the company</w:t>
            </w:r>
            <w:r>
              <w:rPr>
                <w:szCs w:val="24"/>
              </w:rPr>
              <w:t>’</w:t>
            </w:r>
            <w:r w:rsidRPr="00E47B30">
              <w:rPr>
                <w:szCs w:val="24"/>
              </w:rPr>
              <w:t xml:space="preserve">s voting securities, and any </w:t>
            </w:r>
            <w:r>
              <w:rPr>
                <w:szCs w:val="24"/>
              </w:rPr>
              <w:t>“</w:t>
            </w:r>
            <w:r w:rsidRPr="00E47B30">
              <w:rPr>
                <w:szCs w:val="24"/>
              </w:rPr>
              <w:t>immediate family member</w:t>
            </w:r>
            <w:r>
              <w:rPr>
                <w:szCs w:val="24"/>
              </w:rPr>
              <w:t>”</w:t>
            </w:r>
            <w:r w:rsidRPr="00E47B30">
              <w:rPr>
                <w:szCs w:val="24"/>
              </w:rPr>
              <w:t xml:space="preserve"> of any of these persons.</w:t>
            </w:r>
          </w:p>
        </w:tc>
        <w:tc>
          <w:tcPr>
            <w:tcW w:w="931" w:type="pct"/>
          </w:tcPr>
          <w:p w:rsidR="000459BE" w:rsidP="000459BE" w:rsidRDefault="000459BE" w14:paraId="61531196" w14:textId="77777777">
            <w:pPr>
              <w:pStyle w:val="BodyText"/>
            </w:pPr>
          </w:p>
        </w:tc>
        <w:tc>
          <w:tcPr>
            <w:tcW w:w="561" w:type="pct"/>
          </w:tcPr>
          <w:p w:rsidRPr="007E0B55" w:rsidR="000459BE" w:rsidP="000459BE" w:rsidRDefault="000459BE" w14:paraId="4AD695F0" w14:textId="77777777">
            <w:pPr>
              <w:pStyle w:val="BodyText"/>
              <w:contextualSpacing/>
              <w:rPr>
                <w:sz w:val="20"/>
                <w:u w:val="single"/>
              </w:rPr>
            </w:pPr>
          </w:p>
        </w:tc>
        <w:tc>
          <w:tcPr>
            <w:tcW w:w="344" w:type="pct"/>
            <w:vAlign w:val="center"/>
          </w:tcPr>
          <w:p w:rsidRPr="00E47B30" w:rsidR="000459BE" w:rsidP="000459BE" w:rsidRDefault="000459BE" w14:paraId="65D0F731"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2542E7FD" w14:textId="1CA81062">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7E5D3C8D" w14:textId="77777777">
        <w:trPr>
          <w:cantSplit/>
          <w:jc w:val="center"/>
        </w:trPr>
        <w:tc>
          <w:tcPr>
            <w:tcW w:w="690" w:type="pct"/>
            <w:shd w:val="clear" w:color="auto" w:fill="auto"/>
          </w:tcPr>
          <w:p w:rsidR="000459BE" w:rsidP="000459BE" w:rsidRDefault="000459BE" w14:paraId="55F9AC24" w14:textId="295465B6">
            <w:pPr>
              <w:pStyle w:val="BodyText"/>
              <w:spacing w:after="120"/>
            </w:pPr>
            <w:r w:rsidRPr="00E47B30">
              <w:t>[Delinquent Section 16(a) Reports]</w:t>
            </w:r>
          </w:p>
        </w:tc>
        <w:tc>
          <w:tcPr>
            <w:tcW w:w="523" w:type="pct"/>
            <w:shd w:val="clear" w:color="auto" w:fill="auto"/>
          </w:tcPr>
          <w:p w:rsidR="000459BE" w:rsidP="000459BE" w:rsidRDefault="000459BE" w14:paraId="664DCFBF" w14:textId="77777777">
            <w:pPr>
              <w:pStyle w:val="BodyText"/>
              <w:spacing w:after="120"/>
              <w:jc w:val="center"/>
            </w:pPr>
          </w:p>
        </w:tc>
        <w:tc>
          <w:tcPr>
            <w:tcW w:w="1951" w:type="pct"/>
            <w:shd w:val="clear" w:color="auto" w:fill="auto"/>
          </w:tcPr>
          <w:p w:rsidR="000459BE" w:rsidP="000459BE" w:rsidRDefault="000D00E3" w14:paraId="0EBA2F0D" w14:textId="6E26F50B">
            <w:pPr>
              <w:pStyle w:val="BodyText"/>
            </w:pPr>
            <w:hyperlink w:history="1" w:anchor="229.405" r:id="rId47">
              <w:r w:rsidRPr="00212212" w:rsidR="000459BE">
                <w:rPr>
                  <w:rStyle w:val="Hyperlink"/>
                </w:rPr>
                <w:t>Item 405</w:t>
              </w:r>
            </w:hyperlink>
            <w:r w:rsidR="000459BE">
              <w:t xml:space="preserve"> (Summary)</w:t>
            </w:r>
          </w:p>
          <w:p w:rsidRPr="00E47B30" w:rsidR="000459BE" w:rsidP="000459BE" w:rsidRDefault="000459BE" w14:paraId="03CA5768" w14:textId="77777777">
            <w:pPr>
              <w:spacing w:after="240"/>
            </w:pPr>
            <w:r w:rsidRPr="00E47B30">
              <w:t>Disclose information concerning late filings by Section 16 filers.</w:t>
            </w:r>
          </w:p>
          <w:p w:rsidRPr="00E47B30" w:rsidR="000459BE" w:rsidP="000459BE" w:rsidRDefault="000459BE" w14:paraId="6C2A0B33" w14:textId="4C3C46D4">
            <w:pPr>
              <w:pStyle w:val="BodyText"/>
            </w:pPr>
            <w:r w:rsidRPr="00E47B30">
              <w:t>Item 405 disclosure requires review of SEC filings</w:t>
            </w:r>
            <w:r>
              <w:t xml:space="preserve"> and/or a “no filings due” statement</w:t>
            </w:r>
            <w:r w:rsidRPr="00E47B30">
              <w:t xml:space="preserve">; circulate </w:t>
            </w:r>
            <w:hyperlink w:history="1" r:id="rId48">
              <w:r w:rsidRPr="00E47B30">
                <w:rPr>
                  <w:rStyle w:val="Hyperlink"/>
                </w:rPr>
                <w:t>Form 5 and Section 16 Reporting Questionnaires</w:t>
              </w:r>
            </w:hyperlink>
            <w:r w:rsidRPr="00E47B30">
              <w:t xml:space="preserve"> to all</w:t>
            </w:r>
            <w:r>
              <w:t xml:space="preserve"> directors and executive officers </w:t>
            </w:r>
            <w:r w:rsidRPr="00E47B30">
              <w:t>to gather necessary facts and signatures.</w:t>
            </w:r>
          </w:p>
          <w:p w:rsidRPr="00E47B30" w:rsidR="000459BE" w:rsidP="000459BE" w:rsidRDefault="000459BE" w14:paraId="5227B717" w14:textId="7477200F">
            <w:pPr>
              <w:pStyle w:val="BodyText"/>
            </w:pPr>
            <w:r>
              <w:t>Item 405 requires companies to disclose late Section 16 reports under the caption</w:t>
            </w:r>
            <w:r w:rsidRPr="00414307">
              <w:t xml:space="preserve"> </w:t>
            </w:r>
            <w:r>
              <w:t>“</w:t>
            </w:r>
            <w:r w:rsidRPr="00E816C3">
              <w:rPr>
                <w:b/>
                <w:bCs/>
              </w:rPr>
              <w:t>Delinquent Section 16(a) Reports</w:t>
            </w:r>
            <w:r>
              <w:t>”</w:t>
            </w:r>
            <w:r w:rsidRPr="00414307">
              <w:t xml:space="preserve"> and encourage</w:t>
            </w:r>
            <w:r>
              <w:t>s</w:t>
            </w:r>
            <w:r w:rsidRPr="00414307">
              <w:t xml:space="preserve"> companies to exclude this heading and any related disclosure completely if there are no Section 16(a) delinquencies to disclose.</w:t>
            </w:r>
          </w:p>
        </w:tc>
        <w:tc>
          <w:tcPr>
            <w:tcW w:w="931" w:type="pct"/>
          </w:tcPr>
          <w:p w:rsidR="000459BE" w:rsidP="000459BE" w:rsidRDefault="000459BE" w14:paraId="58A7CBFD" w14:textId="77777777">
            <w:pPr>
              <w:pStyle w:val="BodyText"/>
            </w:pPr>
          </w:p>
        </w:tc>
        <w:tc>
          <w:tcPr>
            <w:tcW w:w="561" w:type="pct"/>
          </w:tcPr>
          <w:p w:rsidRPr="007E0B55" w:rsidR="000459BE" w:rsidP="000459BE" w:rsidRDefault="000459BE" w14:paraId="3849928F" w14:textId="77777777">
            <w:pPr>
              <w:pStyle w:val="BodyText"/>
              <w:contextualSpacing/>
              <w:rPr>
                <w:sz w:val="20"/>
                <w:u w:val="single"/>
              </w:rPr>
            </w:pPr>
          </w:p>
        </w:tc>
        <w:tc>
          <w:tcPr>
            <w:tcW w:w="344" w:type="pct"/>
            <w:vAlign w:val="center"/>
          </w:tcPr>
          <w:p w:rsidRPr="00E47B30" w:rsidR="000459BE" w:rsidP="000459BE" w:rsidRDefault="000459BE" w14:paraId="2D67CB45"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79885622" w14:textId="01EDE652">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76309F1D" w14:textId="77777777">
        <w:trPr>
          <w:cantSplit/>
          <w:jc w:val="center"/>
        </w:trPr>
        <w:tc>
          <w:tcPr>
            <w:tcW w:w="690" w:type="pct"/>
            <w:shd w:val="clear" w:color="auto" w:fill="auto"/>
          </w:tcPr>
          <w:p w:rsidR="000459BE" w:rsidP="000459BE" w:rsidRDefault="000459BE" w14:paraId="221490BC" w14:textId="5F196C96">
            <w:pPr>
              <w:pStyle w:val="BodyText"/>
              <w:spacing w:after="120"/>
            </w:pPr>
            <w:r w:rsidRPr="00E47B30">
              <w:lastRenderedPageBreak/>
              <w:t>[Director independence]</w:t>
            </w:r>
          </w:p>
        </w:tc>
        <w:tc>
          <w:tcPr>
            <w:tcW w:w="523" w:type="pct"/>
            <w:shd w:val="clear" w:color="auto" w:fill="auto"/>
          </w:tcPr>
          <w:p w:rsidR="000459BE" w:rsidP="000459BE" w:rsidRDefault="000459BE" w14:paraId="0A014668" w14:textId="77777777">
            <w:pPr>
              <w:pStyle w:val="BodyText"/>
              <w:spacing w:after="120"/>
              <w:jc w:val="center"/>
            </w:pPr>
          </w:p>
        </w:tc>
        <w:tc>
          <w:tcPr>
            <w:tcW w:w="1951" w:type="pct"/>
            <w:shd w:val="clear" w:color="auto" w:fill="auto"/>
          </w:tcPr>
          <w:p w:rsidR="000459BE" w:rsidP="000459BE" w:rsidRDefault="000D00E3" w14:paraId="1C072C73" w14:textId="0CCCBD4B">
            <w:pPr>
              <w:spacing w:after="240"/>
            </w:pPr>
            <w:hyperlink w:history="1" w:anchor="229.407" r:id="rId49">
              <w:r w:rsidRPr="00212212" w:rsidR="000459BE">
                <w:rPr>
                  <w:rStyle w:val="Hyperlink"/>
                </w:rPr>
                <w:t>Item 407(a)</w:t>
              </w:r>
            </w:hyperlink>
            <w:r w:rsidR="000459BE">
              <w:t xml:space="preserve"> (Summary)</w:t>
            </w:r>
          </w:p>
          <w:p w:rsidRPr="00DC0EAC" w:rsidR="000459BE" w:rsidP="000459BE" w:rsidRDefault="000459BE" w14:paraId="5831CAF0" w14:textId="4D539EFD">
            <w:pPr>
              <w:spacing w:after="240"/>
            </w:pPr>
            <w:r w:rsidRPr="00DC0EAC">
              <w:t>Provide the following information for each person who served as a director during any part of the last completed fiscal year:</w:t>
            </w:r>
          </w:p>
          <w:p w:rsidRPr="00DC0EAC" w:rsidR="000459BE" w:rsidP="000459BE" w:rsidRDefault="000459BE" w14:paraId="0943440A" w14:textId="77777777">
            <w:pPr>
              <w:numPr>
                <w:ilvl w:val="0"/>
                <w:numId w:val="19"/>
              </w:numPr>
              <w:spacing w:after="240"/>
              <w:ind w:left="361" w:hanging="270"/>
              <w:rPr>
                <w:iCs/>
                <w:szCs w:val="24"/>
              </w:rPr>
            </w:pPr>
            <w:r w:rsidRPr="00DC0EAC">
              <w:rPr>
                <w:iCs/>
                <w:szCs w:val="24"/>
              </w:rPr>
              <w:t>Identify directors (and nominees, in the case of proxy statements relating to director elections) who are independent under applicable standards.</w:t>
            </w:r>
          </w:p>
          <w:p w:rsidR="000459BE" w:rsidP="000459BE" w:rsidRDefault="000459BE" w14:paraId="4F9ED0FC" w14:textId="77777777">
            <w:pPr>
              <w:numPr>
                <w:ilvl w:val="0"/>
                <w:numId w:val="19"/>
              </w:numPr>
              <w:spacing w:after="240"/>
              <w:ind w:left="361" w:hanging="270"/>
            </w:pPr>
            <w:r w:rsidRPr="00DC0EAC">
              <w:t>Identify members of the compensation, nominating and/or audit committees who are not independent under applicable standards if such standards contain independence requirements for such committees. If the company does not have a separately designated audit, compensation or nominating committee or a committee performing similar functions, provide the required disclosure for all directors.</w:t>
            </w:r>
          </w:p>
          <w:p w:rsidRPr="00E47B30" w:rsidR="000459BE" w:rsidP="000459BE" w:rsidRDefault="000459BE" w14:paraId="6DF6C08C" w14:textId="4E1FDF8F">
            <w:pPr>
              <w:numPr>
                <w:ilvl w:val="0"/>
                <w:numId w:val="19"/>
              </w:numPr>
              <w:spacing w:after="240"/>
              <w:ind w:left="361" w:hanging="270"/>
            </w:pPr>
            <w:r w:rsidRPr="00E47B30">
              <w:t>Describe, for each director and nominee who is independent, any transaction, relationship or arrangement that was considered by the Board of Directors in determining that the director or nominee was independent but was not disclosed pursuant to Regulation S-K Item 404(a).</w:t>
            </w:r>
          </w:p>
        </w:tc>
        <w:tc>
          <w:tcPr>
            <w:tcW w:w="931" w:type="pct"/>
          </w:tcPr>
          <w:p w:rsidR="000459BE" w:rsidP="000459BE" w:rsidRDefault="000459BE" w14:paraId="525AAEA7" w14:textId="77777777">
            <w:pPr>
              <w:pStyle w:val="BodyText"/>
              <w:rPr>
                <w:szCs w:val="24"/>
              </w:rPr>
            </w:pPr>
          </w:p>
          <w:p w:rsidR="000459BE" w:rsidP="000459BE" w:rsidRDefault="000459BE" w14:paraId="04D6CA63" w14:textId="77777777">
            <w:pPr>
              <w:pStyle w:val="BodyText"/>
              <w:rPr>
                <w:szCs w:val="24"/>
              </w:rPr>
            </w:pPr>
            <w:r w:rsidRPr="00E47B30">
              <w:rPr>
                <w:szCs w:val="24"/>
              </w:rPr>
              <w:t>Note that in specific cases this disclosure is subject to (1) additional requirements and (2) limited exemptions.</w:t>
            </w:r>
          </w:p>
          <w:p w:rsidR="000459BE" w:rsidP="000459BE" w:rsidRDefault="000459BE" w14:paraId="1DB73CB2" w14:textId="77777777">
            <w:pPr>
              <w:pStyle w:val="BodyText"/>
              <w:rPr>
                <w:szCs w:val="24"/>
              </w:rPr>
            </w:pPr>
          </w:p>
          <w:p w:rsidR="000459BE" w:rsidP="000459BE" w:rsidRDefault="000459BE" w14:paraId="3114EF64" w14:textId="77777777">
            <w:pPr>
              <w:pStyle w:val="BodyText"/>
              <w:rPr>
                <w:szCs w:val="24"/>
              </w:rPr>
            </w:pPr>
          </w:p>
          <w:p w:rsidR="000459BE" w:rsidP="000459BE" w:rsidRDefault="000459BE" w14:paraId="60365D93" w14:textId="226F2285">
            <w:pPr>
              <w:pStyle w:val="BodyText"/>
              <w:rPr>
                <w:szCs w:val="24"/>
              </w:rPr>
            </w:pPr>
          </w:p>
          <w:p w:rsidR="000459BE" w:rsidP="000459BE" w:rsidRDefault="000459BE" w14:paraId="35EA0DE7" w14:textId="77777777">
            <w:pPr>
              <w:pStyle w:val="BodyText"/>
              <w:rPr>
                <w:szCs w:val="24"/>
              </w:rPr>
            </w:pPr>
          </w:p>
          <w:p w:rsidR="000459BE" w:rsidP="000459BE" w:rsidRDefault="000459BE" w14:paraId="574A785C" w14:textId="77777777">
            <w:pPr>
              <w:pStyle w:val="BodyText"/>
              <w:rPr>
                <w:szCs w:val="24"/>
              </w:rPr>
            </w:pPr>
          </w:p>
          <w:p w:rsidR="000459BE" w:rsidP="000459BE" w:rsidRDefault="000459BE" w14:paraId="2E45A09D" w14:textId="1B26889E">
            <w:pPr>
              <w:spacing w:after="240"/>
            </w:pPr>
            <w:r>
              <w:t xml:space="preserve">This </w:t>
            </w:r>
            <w:r w:rsidRPr="00414307">
              <w:t xml:space="preserve">description may be made by specific category or type of transaction, relationship or arrangement if the company satisfies instruction 3 to Item 407(a), which requires the disclosure to be provided </w:t>
            </w:r>
            <w:r>
              <w:t>“</w:t>
            </w:r>
            <w:r w:rsidRPr="00414307">
              <w:t>in such detail as is necessary to fully describe the nature of the transactions, relationships or arrangements.</w:t>
            </w:r>
            <w:r>
              <w:t>”</w:t>
            </w:r>
          </w:p>
        </w:tc>
        <w:tc>
          <w:tcPr>
            <w:tcW w:w="561" w:type="pct"/>
          </w:tcPr>
          <w:p w:rsidRPr="007E0B55" w:rsidR="000459BE" w:rsidP="000459BE" w:rsidRDefault="000459BE" w14:paraId="402F7449" w14:textId="77777777">
            <w:pPr>
              <w:pStyle w:val="BodyText"/>
              <w:contextualSpacing/>
              <w:rPr>
                <w:sz w:val="20"/>
                <w:u w:val="single"/>
              </w:rPr>
            </w:pPr>
          </w:p>
        </w:tc>
        <w:tc>
          <w:tcPr>
            <w:tcW w:w="344" w:type="pct"/>
            <w:vAlign w:val="center"/>
          </w:tcPr>
          <w:p w:rsidRPr="00E47B30" w:rsidR="000459BE" w:rsidP="000459BE" w:rsidRDefault="000459BE" w14:paraId="0573D25C"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778CF8C5" w14:textId="4759CF70">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1227175B" w14:textId="77777777">
        <w:trPr>
          <w:cantSplit/>
          <w:jc w:val="center"/>
        </w:trPr>
        <w:tc>
          <w:tcPr>
            <w:tcW w:w="690" w:type="pct"/>
            <w:shd w:val="clear" w:color="auto" w:fill="auto"/>
          </w:tcPr>
          <w:p w:rsidR="000459BE" w:rsidP="000459BE" w:rsidRDefault="000459BE" w14:paraId="053B7816" w14:textId="1797D335">
            <w:pPr>
              <w:pStyle w:val="BodyText"/>
              <w:spacing w:after="120"/>
            </w:pPr>
            <w:r w:rsidRPr="00E47B30">
              <w:lastRenderedPageBreak/>
              <w:t>[Board and Committee Meetings]</w:t>
            </w:r>
          </w:p>
        </w:tc>
        <w:tc>
          <w:tcPr>
            <w:tcW w:w="523" w:type="pct"/>
            <w:shd w:val="clear" w:color="auto" w:fill="auto"/>
          </w:tcPr>
          <w:p w:rsidR="000459BE" w:rsidP="000459BE" w:rsidRDefault="000459BE" w14:paraId="557AA4E1" w14:textId="77777777">
            <w:pPr>
              <w:pStyle w:val="BodyText"/>
              <w:spacing w:after="120"/>
              <w:jc w:val="center"/>
            </w:pPr>
          </w:p>
        </w:tc>
        <w:tc>
          <w:tcPr>
            <w:tcW w:w="1951" w:type="pct"/>
            <w:shd w:val="clear" w:color="auto" w:fill="auto"/>
          </w:tcPr>
          <w:p w:rsidR="000459BE" w:rsidP="000459BE" w:rsidRDefault="000D00E3" w14:paraId="73A5FF47" w14:textId="0DA48DF9">
            <w:pPr>
              <w:spacing w:after="240"/>
            </w:pPr>
            <w:hyperlink w:history="1" w:anchor="229.407" r:id="rId50">
              <w:r w:rsidRPr="00212212" w:rsidR="000459BE">
                <w:rPr>
                  <w:rStyle w:val="Hyperlink"/>
                </w:rPr>
                <w:t>Item 407(b)</w:t>
              </w:r>
            </w:hyperlink>
            <w:r w:rsidR="000459BE">
              <w:t xml:space="preserve"> (Summary)</w:t>
            </w:r>
          </w:p>
          <w:p w:rsidR="000459BE" w:rsidP="000459BE" w:rsidRDefault="000459BE" w14:paraId="38330312" w14:textId="05B6DE31">
            <w:pPr>
              <w:spacing w:after="240"/>
            </w:pPr>
            <w:r w:rsidRPr="00E47B30">
              <w:t>Provide information concerning board and committee meetings and attendance and annual meeting attendance, and the company</w:t>
            </w:r>
            <w:r>
              <w:t>’</w:t>
            </w:r>
            <w:r w:rsidRPr="00E47B30">
              <w:t>s policy, if any, for director attendance at annual meetings.</w:t>
            </w:r>
          </w:p>
          <w:p w:rsidR="000459BE" w:rsidP="000459BE" w:rsidRDefault="000459BE" w14:paraId="5D14311D" w14:textId="4BDB32F1">
            <w:pPr>
              <w:spacing w:after="240"/>
            </w:pPr>
            <w:r>
              <w:rPr>
                <w:szCs w:val="24"/>
              </w:rPr>
              <w:t>An instruction</w:t>
            </w:r>
            <w:r w:rsidRPr="00E47B30">
              <w:rPr>
                <w:szCs w:val="24"/>
              </w:rPr>
              <w:t xml:space="preserve"> to Item 407(b) allows companies to provide the address of the page on its website where this information appears in lieu of providing this information in the proxy statement</w:t>
            </w:r>
            <w:r>
              <w:rPr>
                <w:szCs w:val="24"/>
              </w:rPr>
              <w:t>.</w:t>
            </w:r>
          </w:p>
        </w:tc>
        <w:tc>
          <w:tcPr>
            <w:tcW w:w="931" w:type="pct"/>
          </w:tcPr>
          <w:p w:rsidR="000459BE" w:rsidP="000459BE" w:rsidRDefault="000459BE" w14:paraId="6AAD1C85" w14:textId="77777777">
            <w:pPr>
              <w:pStyle w:val="BodyText"/>
              <w:rPr>
                <w:szCs w:val="24"/>
              </w:rPr>
            </w:pPr>
          </w:p>
        </w:tc>
        <w:tc>
          <w:tcPr>
            <w:tcW w:w="561" w:type="pct"/>
          </w:tcPr>
          <w:p w:rsidRPr="007E0B55" w:rsidR="000459BE" w:rsidP="000459BE" w:rsidRDefault="000459BE" w14:paraId="0E2C053E" w14:textId="77777777">
            <w:pPr>
              <w:pStyle w:val="BodyText"/>
              <w:contextualSpacing/>
              <w:rPr>
                <w:sz w:val="20"/>
                <w:u w:val="single"/>
              </w:rPr>
            </w:pPr>
          </w:p>
        </w:tc>
        <w:tc>
          <w:tcPr>
            <w:tcW w:w="344" w:type="pct"/>
            <w:vAlign w:val="center"/>
          </w:tcPr>
          <w:p w:rsidRPr="00E47B30" w:rsidR="000459BE" w:rsidP="000459BE" w:rsidRDefault="000459BE" w14:paraId="047FD0DC"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49D1D6B7" w14:textId="367C290B">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6C100EEA" w14:textId="77777777">
        <w:trPr>
          <w:cantSplit/>
          <w:jc w:val="center"/>
        </w:trPr>
        <w:tc>
          <w:tcPr>
            <w:tcW w:w="690" w:type="pct"/>
            <w:shd w:val="clear" w:color="auto" w:fill="auto"/>
          </w:tcPr>
          <w:p w:rsidRPr="00E47B30" w:rsidR="000459BE" w:rsidP="000459BE" w:rsidRDefault="000459BE" w14:paraId="326FBBF8" w14:textId="77777777">
            <w:pPr>
              <w:pStyle w:val="BodyText"/>
              <w:spacing w:after="120"/>
            </w:pPr>
            <w:r w:rsidRPr="00E47B30">
              <w:lastRenderedPageBreak/>
              <w:t>[Nominating Committee]</w:t>
            </w:r>
          </w:p>
          <w:p w:rsidR="000459BE" w:rsidP="000459BE" w:rsidRDefault="000459BE" w14:paraId="30403BB8" w14:textId="77777777">
            <w:pPr>
              <w:pStyle w:val="BodyText"/>
              <w:spacing w:after="120"/>
            </w:pPr>
          </w:p>
        </w:tc>
        <w:tc>
          <w:tcPr>
            <w:tcW w:w="523" w:type="pct"/>
            <w:shd w:val="clear" w:color="auto" w:fill="auto"/>
          </w:tcPr>
          <w:p w:rsidRPr="00E47B30" w:rsidR="000459BE" w:rsidP="000459BE" w:rsidRDefault="000459BE" w14:paraId="2B3FCC8D" w14:textId="77777777">
            <w:pPr>
              <w:pStyle w:val="BodyText"/>
              <w:spacing w:after="120"/>
              <w:jc w:val="center"/>
            </w:pPr>
          </w:p>
        </w:tc>
        <w:tc>
          <w:tcPr>
            <w:tcW w:w="1951" w:type="pct"/>
            <w:shd w:val="clear" w:color="auto" w:fill="auto"/>
          </w:tcPr>
          <w:p w:rsidR="000459BE" w:rsidP="000459BE" w:rsidRDefault="000D00E3" w14:paraId="51D6F098" w14:textId="3D46494D">
            <w:pPr>
              <w:pStyle w:val="BodyText"/>
            </w:pPr>
            <w:hyperlink w:history="1" w:anchor="229.407" r:id="rId51">
              <w:r w:rsidRPr="00212212" w:rsidR="000459BE">
                <w:rPr>
                  <w:rStyle w:val="Hyperlink"/>
                </w:rPr>
                <w:t>Items 407(c)(1) and (2)</w:t>
              </w:r>
            </w:hyperlink>
            <w:r w:rsidR="000459BE">
              <w:t xml:space="preserve"> (Summary)</w:t>
            </w:r>
          </w:p>
          <w:p w:rsidRPr="00E47B30" w:rsidR="000459BE" w:rsidP="000459BE" w:rsidRDefault="000459BE" w14:paraId="3B192067" w14:textId="7767528D">
            <w:pPr>
              <w:pStyle w:val="BodyText"/>
            </w:pPr>
            <w:r w:rsidRPr="00E47B30">
              <w:t>Provide information concerning the nominating committee, including, among other things:</w:t>
            </w:r>
          </w:p>
          <w:p w:rsidRPr="00E47B30" w:rsidR="000459BE" w:rsidP="000459BE" w:rsidRDefault="000459BE" w14:paraId="4DFCE882" w14:textId="77777777">
            <w:pPr>
              <w:pStyle w:val="ListBullet"/>
            </w:pPr>
            <w:r w:rsidRPr="00E47B30">
              <w:t>nominating committee existence or the basis for the company not having a nominating committee;</w:t>
            </w:r>
          </w:p>
          <w:p w:rsidRPr="00E47B30" w:rsidR="000459BE" w:rsidP="000459BE" w:rsidRDefault="000459BE" w14:paraId="7A709BF0" w14:textId="77777777">
            <w:pPr>
              <w:pStyle w:val="ListBullet"/>
            </w:pPr>
            <w:r w:rsidRPr="00E47B30">
              <w:t>nominating committee written charter and related disclosure;</w:t>
            </w:r>
          </w:p>
          <w:p w:rsidRPr="00E47B30" w:rsidR="000459BE" w:rsidP="000459BE" w:rsidRDefault="000459BE" w14:paraId="4D1B48C9" w14:textId="4250D2AC">
            <w:pPr>
              <w:pStyle w:val="ListBullet"/>
            </w:pPr>
            <w:r w:rsidRPr="00E47B30">
              <w:t>policy regarding security holder recommendatio</w:t>
            </w:r>
            <w:r>
              <w:t>ns of director candidates</w:t>
            </w:r>
            <w:r w:rsidRPr="00E47B30">
              <w:t xml:space="preserve"> or the basis for the company not having such a policy;</w:t>
            </w:r>
          </w:p>
          <w:p w:rsidRPr="00E47B30" w:rsidR="000459BE" w:rsidP="000459BE" w:rsidRDefault="000459BE" w14:paraId="2AC437F0" w14:textId="77777777">
            <w:pPr>
              <w:pStyle w:val="ListBullet"/>
            </w:pPr>
            <w:r w:rsidRPr="00E47B30">
              <w:rPr>
                <w:szCs w:val="22"/>
              </w:rPr>
              <w:t xml:space="preserve">procedures, if </w:t>
            </w:r>
            <w:r w:rsidRPr="00E47B30">
              <w:t>any, for submitting candidates;</w:t>
            </w:r>
          </w:p>
          <w:p w:rsidRPr="00E47B30" w:rsidR="000459BE" w:rsidP="000459BE" w:rsidRDefault="000459BE" w14:paraId="44A2C1C3" w14:textId="77777777">
            <w:pPr>
              <w:pStyle w:val="ListBullet"/>
            </w:pPr>
            <w:r w:rsidRPr="00E47B30">
              <w:t>minimum qualifications, necessary qualities and skills;</w:t>
            </w:r>
          </w:p>
          <w:p w:rsidRPr="00E47B30" w:rsidR="000459BE" w:rsidP="000459BE" w:rsidRDefault="000459BE" w14:paraId="32F02BEF" w14:textId="097C197D">
            <w:pPr>
              <w:pStyle w:val="ListBullet"/>
            </w:pPr>
            <w:r w:rsidRPr="00E47B30">
              <w:t>the committee</w:t>
            </w:r>
            <w:r>
              <w:t>’</w:t>
            </w:r>
            <w:r w:rsidRPr="00E47B30">
              <w:t>s processes for identifying and evaluating director nominees;</w:t>
            </w:r>
          </w:p>
          <w:p w:rsidRPr="00E47B30" w:rsidR="000459BE" w:rsidP="000459BE" w:rsidRDefault="000459BE" w14:paraId="42D23E59" w14:textId="77777777">
            <w:pPr>
              <w:pStyle w:val="ListBullet"/>
            </w:pPr>
            <w:r w:rsidRPr="00E47B30">
              <w:t>categories of persons who recommended any nominee other than nominees who are executive officers or directors standing for reelection;</w:t>
            </w:r>
          </w:p>
          <w:p w:rsidRPr="00E47B30" w:rsidR="000459BE" w:rsidP="000459BE" w:rsidRDefault="000459BE" w14:paraId="16AEC3F6" w14:textId="77777777">
            <w:pPr>
              <w:pStyle w:val="ListBullet"/>
            </w:pPr>
            <w:r w:rsidRPr="00E47B30">
              <w:t>the function performed by third parties who were compensated for identifying or evaluating potential nominees; and</w:t>
            </w:r>
          </w:p>
          <w:p w:rsidRPr="00E47B30" w:rsidR="000459BE" w:rsidP="000459BE" w:rsidRDefault="000459BE" w14:paraId="4996F45F" w14:textId="79F773A0">
            <w:pPr>
              <w:pStyle w:val="ListBullet"/>
            </w:pPr>
            <w:r w:rsidRPr="00E47B30">
              <w:t xml:space="preserve">certain nominees </w:t>
            </w:r>
            <w:r w:rsidRPr="001B0458">
              <w:rPr>
                <w:szCs w:val="22"/>
              </w:rPr>
              <w:t>recommended</w:t>
            </w:r>
            <w:r w:rsidRPr="00E47B30">
              <w:t xml:space="preserve"> by +5% security holders</w:t>
            </w:r>
            <w:r w:rsidRPr="00E47B30">
              <w:rPr>
                <w:szCs w:val="22"/>
              </w:rPr>
              <w:t>.</w:t>
            </w:r>
          </w:p>
        </w:tc>
        <w:tc>
          <w:tcPr>
            <w:tcW w:w="931" w:type="pct"/>
          </w:tcPr>
          <w:p w:rsidRPr="00414307" w:rsidR="000459BE" w:rsidP="000459BE" w:rsidRDefault="000459BE" w14:paraId="3F29AE5D" w14:textId="77777777">
            <w:pPr>
              <w:pStyle w:val="BodyText"/>
            </w:pPr>
          </w:p>
        </w:tc>
        <w:tc>
          <w:tcPr>
            <w:tcW w:w="561" w:type="pct"/>
          </w:tcPr>
          <w:p w:rsidRPr="007E0B55" w:rsidR="000459BE" w:rsidP="000459BE" w:rsidRDefault="000459BE" w14:paraId="3D12F50F" w14:textId="77777777">
            <w:pPr>
              <w:pStyle w:val="BodyText"/>
              <w:contextualSpacing/>
              <w:rPr>
                <w:sz w:val="20"/>
                <w:u w:val="single"/>
              </w:rPr>
            </w:pPr>
          </w:p>
        </w:tc>
        <w:tc>
          <w:tcPr>
            <w:tcW w:w="344" w:type="pct"/>
            <w:vAlign w:val="center"/>
          </w:tcPr>
          <w:p w:rsidRPr="00E47B30" w:rsidR="000459BE" w:rsidP="000459BE" w:rsidRDefault="000459BE" w14:paraId="2FB30AE2"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1B502109" w14:textId="02B54F4E">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638334B9" w14:textId="77777777">
        <w:trPr>
          <w:cantSplit/>
          <w:jc w:val="center"/>
        </w:trPr>
        <w:tc>
          <w:tcPr>
            <w:tcW w:w="690" w:type="pct"/>
            <w:shd w:val="clear" w:color="auto" w:fill="auto"/>
          </w:tcPr>
          <w:p w:rsidRPr="007C0A13" w:rsidR="000459BE" w:rsidP="000459BE" w:rsidRDefault="000459BE" w14:paraId="0FA41FC8" w14:textId="77777777">
            <w:pPr>
              <w:pStyle w:val="BodyText"/>
            </w:pPr>
            <w:r w:rsidRPr="007C0A13">
              <w:lastRenderedPageBreak/>
              <w:t>[Charter of Nominating Committee]</w:t>
            </w:r>
          </w:p>
          <w:p w:rsidR="000459BE" w:rsidP="000459BE" w:rsidRDefault="000459BE" w14:paraId="1EA1575A" w14:textId="77777777">
            <w:pPr>
              <w:pStyle w:val="BodyText"/>
              <w:spacing w:after="120"/>
            </w:pPr>
          </w:p>
        </w:tc>
        <w:tc>
          <w:tcPr>
            <w:tcW w:w="523" w:type="pct"/>
            <w:shd w:val="clear" w:color="auto" w:fill="auto"/>
          </w:tcPr>
          <w:p w:rsidRPr="00E47B30" w:rsidR="000459BE" w:rsidP="000459BE" w:rsidRDefault="000459BE" w14:paraId="2EA0D7E9" w14:textId="77777777">
            <w:pPr>
              <w:pStyle w:val="BodyText"/>
              <w:spacing w:after="120"/>
              <w:jc w:val="center"/>
            </w:pPr>
          </w:p>
        </w:tc>
        <w:tc>
          <w:tcPr>
            <w:tcW w:w="1951" w:type="pct"/>
            <w:shd w:val="clear" w:color="auto" w:fill="auto"/>
          </w:tcPr>
          <w:p w:rsidR="000459BE" w:rsidP="000459BE" w:rsidRDefault="000D00E3" w14:paraId="0779598C" w14:textId="4D77297F">
            <w:pPr>
              <w:pStyle w:val="BodyText"/>
              <w:keepLines/>
              <w:rPr>
                <w:szCs w:val="24"/>
              </w:rPr>
            </w:pPr>
            <w:hyperlink w:history="1" w:anchor="229.407" r:id="rId52">
              <w:r w:rsidRPr="00342A4F" w:rsidR="000459BE">
                <w:rPr>
                  <w:rStyle w:val="Hyperlink"/>
                  <w:szCs w:val="24"/>
                </w:rPr>
                <w:t>Item 407(c)(2) and Instruction 2</w:t>
              </w:r>
            </w:hyperlink>
            <w:r w:rsidR="000459BE">
              <w:rPr>
                <w:rStyle w:val="Hyperlink"/>
                <w:szCs w:val="24"/>
              </w:rPr>
              <w:t xml:space="preserve"> to Item 407</w:t>
            </w:r>
            <w:r w:rsidR="000459BE">
              <w:rPr>
                <w:szCs w:val="24"/>
              </w:rPr>
              <w:t xml:space="preserve"> (Summary)</w:t>
            </w:r>
          </w:p>
          <w:p w:rsidRPr="00342A4F" w:rsidR="000459BE" w:rsidP="000459BE" w:rsidRDefault="000459BE" w14:paraId="0072C10D" w14:textId="7A9B7220">
            <w:pPr>
              <w:pStyle w:val="BodyText"/>
              <w:keepLines/>
              <w:rPr>
                <w:szCs w:val="24"/>
              </w:rPr>
            </w:pPr>
            <w:r w:rsidRPr="00342A4F">
              <w:rPr>
                <w:szCs w:val="24"/>
              </w:rPr>
              <w:t>Disclose whether a current copy of the nominating committee charter is available to security holders on the company</w:t>
            </w:r>
            <w:r>
              <w:rPr>
                <w:szCs w:val="24"/>
              </w:rPr>
              <w:t>’</w:t>
            </w:r>
            <w:r w:rsidRPr="00342A4F">
              <w:rPr>
                <w:szCs w:val="24"/>
              </w:rPr>
              <w:t>s website, and if so, provide the company</w:t>
            </w:r>
            <w:r>
              <w:rPr>
                <w:szCs w:val="24"/>
              </w:rPr>
              <w:t>’</w:t>
            </w:r>
            <w:r w:rsidRPr="00342A4F">
              <w:rPr>
                <w:szCs w:val="24"/>
              </w:rPr>
              <w:t>s website address.</w:t>
            </w:r>
          </w:p>
          <w:p w:rsidRPr="00342A4F" w:rsidR="000459BE" w:rsidP="000459BE" w:rsidRDefault="000459BE" w14:paraId="4D64AF1E" w14:textId="0BC56E5B">
            <w:pPr>
              <w:pStyle w:val="BodyText"/>
              <w:keepLines/>
              <w:rPr>
                <w:szCs w:val="24"/>
              </w:rPr>
            </w:pPr>
            <w:r w:rsidRPr="00342A4F">
              <w:rPr>
                <w:szCs w:val="24"/>
              </w:rPr>
              <w:t>If a current copy of the charter is not available to security holders on the company</w:t>
            </w:r>
            <w:r>
              <w:rPr>
                <w:szCs w:val="24"/>
              </w:rPr>
              <w:t>’</w:t>
            </w:r>
            <w:r w:rsidRPr="00342A4F">
              <w:rPr>
                <w:szCs w:val="24"/>
              </w:rPr>
              <w:t>s website, include a copy of the charter in an appendix to the company</w:t>
            </w:r>
            <w:r>
              <w:rPr>
                <w:szCs w:val="24"/>
              </w:rPr>
              <w:t>’</w:t>
            </w:r>
            <w:r w:rsidRPr="00342A4F">
              <w:rPr>
                <w:szCs w:val="24"/>
              </w:rPr>
              <w:t>s proxy or information statement that is provided to security holders at least once every three fiscal years, or if the charter has been materially amended since the beginning of the company</w:t>
            </w:r>
            <w:r>
              <w:rPr>
                <w:szCs w:val="24"/>
              </w:rPr>
              <w:t>’</w:t>
            </w:r>
            <w:r w:rsidRPr="00342A4F">
              <w:rPr>
                <w:szCs w:val="24"/>
              </w:rPr>
              <w:t>s last fiscal year.</w:t>
            </w:r>
          </w:p>
          <w:p w:rsidR="000459BE" w:rsidP="000459BE" w:rsidRDefault="000459BE" w14:paraId="6B87D2AB" w14:textId="527D1EC6">
            <w:pPr>
              <w:pStyle w:val="BodyText"/>
              <w:keepLines/>
              <w:rPr>
                <w:szCs w:val="24"/>
              </w:rPr>
            </w:pPr>
            <w:r w:rsidRPr="00342A4F">
              <w:rPr>
                <w:szCs w:val="24"/>
              </w:rPr>
              <w:t>If a current copy of the charter is not available to security holders on the company</w:t>
            </w:r>
            <w:r>
              <w:rPr>
                <w:szCs w:val="24"/>
              </w:rPr>
              <w:t>’</w:t>
            </w:r>
            <w:r w:rsidRPr="00342A4F">
              <w:rPr>
                <w:szCs w:val="24"/>
              </w:rPr>
              <w:t>s website and is not included as an appendix to the company</w:t>
            </w:r>
            <w:r>
              <w:rPr>
                <w:szCs w:val="24"/>
              </w:rPr>
              <w:t>’</w:t>
            </w:r>
            <w:r w:rsidRPr="00342A4F">
              <w:rPr>
                <w:szCs w:val="24"/>
              </w:rPr>
              <w:t>s proxy or information statement, identify in which of the prior fiscal years the charter was so included in satisfaction of this requirement.</w:t>
            </w:r>
          </w:p>
        </w:tc>
        <w:tc>
          <w:tcPr>
            <w:tcW w:w="931" w:type="pct"/>
          </w:tcPr>
          <w:p w:rsidRPr="00414307" w:rsidR="000459BE" w:rsidP="000459BE" w:rsidRDefault="000459BE" w14:paraId="54A9DFD5" w14:textId="7E501C00">
            <w:pPr>
              <w:pStyle w:val="BodyText"/>
            </w:pPr>
            <w:r>
              <w:t>Note that most companies comply with this requirement by posting the charter on their website.</w:t>
            </w:r>
          </w:p>
        </w:tc>
        <w:tc>
          <w:tcPr>
            <w:tcW w:w="561" w:type="pct"/>
          </w:tcPr>
          <w:p w:rsidRPr="007E0B55" w:rsidR="000459BE" w:rsidP="000459BE" w:rsidRDefault="000459BE" w14:paraId="13FCD602" w14:textId="77777777">
            <w:pPr>
              <w:pStyle w:val="BodyText"/>
              <w:contextualSpacing/>
              <w:rPr>
                <w:sz w:val="20"/>
                <w:u w:val="single"/>
              </w:rPr>
            </w:pPr>
          </w:p>
        </w:tc>
        <w:tc>
          <w:tcPr>
            <w:tcW w:w="344" w:type="pct"/>
            <w:vAlign w:val="center"/>
          </w:tcPr>
          <w:p w:rsidRPr="00E47B30" w:rsidR="000459BE" w:rsidP="000459BE" w:rsidRDefault="000459BE" w14:paraId="77EBBED5"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65AAC638" w14:textId="2A04EBE3">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694B8FA9" w14:textId="77777777">
        <w:trPr>
          <w:cantSplit/>
          <w:jc w:val="center"/>
        </w:trPr>
        <w:tc>
          <w:tcPr>
            <w:tcW w:w="690" w:type="pct"/>
            <w:shd w:val="clear" w:color="auto" w:fill="auto"/>
          </w:tcPr>
          <w:p w:rsidRPr="00212212" w:rsidR="000459BE" w:rsidP="000459BE" w:rsidRDefault="000459BE" w14:paraId="42528697" w14:textId="0D36D162">
            <w:pPr>
              <w:pStyle w:val="BodyText"/>
              <w:spacing w:after="120"/>
            </w:pPr>
            <w:r>
              <w:lastRenderedPageBreak/>
              <w:t>[Board diversity policies]</w:t>
            </w:r>
          </w:p>
        </w:tc>
        <w:tc>
          <w:tcPr>
            <w:tcW w:w="523" w:type="pct"/>
            <w:shd w:val="clear" w:color="auto" w:fill="auto"/>
          </w:tcPr>
          <w:p w:rsidRPr="00212212" w:rsidR="000459BE" w:rsidP="000459BE" w:rsidRDefault="000459BE" w14:paraId="73022CF6" w14:textId="3175AC98">
            <w:pPr>
              <w:pStyle w:val="BodyText"/>
              <w:spacing w:after="120"/>
              <w:jc w:val="center"/>
            </w:pPr>
          </w:p>
        </w:tc>
        <w:tc>
          <w:tcPr>
            <w:tcW w:w="1951" w:type="pct"/>
            <w:shd w:val="clear" w:color="auto" w:fill="auto"/>
          </w:tcPr>
          <w:p w:rsidR="000459BE" w:rsidP="000459BE" w:rsidRDefault="000459BE" w14:paraId="01FBCCD9" w14:textId="29DEEFD2">
            <w:pPr>
              <w:pStyle w:val="BodyText"/>
            </w:pPr>
            <w:r w:rsidRPr="00212212">
              <w:t xml:space="preserve">Item </w:t>
            </w:r>
            <w:hyperlink w:history="1" w:anchor="p-229.407(c)(2)(vi)" r:id="rId53">
              <w:r w:rsidRPr="00212212">
                <w:rPr>
                  <w:rStyle w:val="Hyperlink"/>
                </w:rPr>
                <w:t>407(c)(2)(vi)</w:t>
              </w:r>
            </w:hyperlink>
            <w:r>
              <w:t xml:space="preserve"> (Summary)</w:t>
            </w:r>
          </w:p>
          <w:p w:rsidRPr="00212212" w:rsidR="000459BE" w:rsidP="000459BE" w:rsidRDefault="000459BE" w14:paraId="3583DEF7" w14:textId="44C62EBC">
            <w:pPr>
              <w:pStyle w:val="BodyText"/>
              <w:rPr>
                <w:szCs w:val="24"/>
              </w:rPr>
            </w:pPr>
            <w:r w:rsidRPr="00212212">
              <w:t>SEC rules require disclosure whether, and if so how, the nominating committee or board of directors considers diversity in director nominations. If the company has a policy with respect to consideration of diversity, describe its implementation and how the effectiveness of the policy is assessed.</w:t>
            </w:r>
          </w:p>
        </w:tc>
        <w:tc>
          <w:tcPr>
            <w:tcW w:w="931" w:type="pct"/>
          </w:tcPr>
          <w:p w:rsidRPr="00212212" w:rsidR="000459BE" w:rsidP="000459BE" w:rsidRDefault="000459BE" w14:paraId="1F0D7E7A" w14:textId="636718E7">
            <w:pPr>
              <w:pStyle w:val="BodyText"/>
            </w:pPr>
            <w:r w:rsidRPr="00212212">
              <w:t xml:space="preserve">See </w:t>
            </w:r>
            <w:hyperlink w:history="1" r:id="rId54">
              <w:r w:rsidRPr="00212212">
                <w:rPr>
                  <w:rStyle w:val="Hyperlink"/>
                </w:rPr>
                <w:t>SEC Compliance &amp; Disclosure Interpretations 116.11 and 133.13</w:t>
              </w:r>
            </w:hyperlink>
            <w:r w:rsidRPr="00212212">
              <w:t xml:space="preserve"> on this issue. The </w:t>
            </w:r>
            <w:r>
              <w:t>SEC Staff</w:t>
            </w:r>
            <w:r w:rsidRPr="00212212">
              <w:t xml:space="preserve"> expects any description of diversity policies followed by the company to include discussion of how the company considers the self-identified diversity attributes of nominees as well as any other qualifications its diversity policy takes into account, such as diverse work experiences, military service, or socio-economic or demographic characteristics.</w:t>
            </w:r>
          </w:p>
        </w:tc>
        <w:tc>
          <w:tcPr>
            <w:tcW w:w="561" w:type="pct"/>
          </w:tcPr>
          <w:p w:rsidRPr="00212212" w:rsidR="000459BE" w:rsidP="000459BE" w:rsidRDefault="000459BE" w14:paraId="63B9D281" w14:textId="77777777">
            <w:pPr>
              <w:pStyle w:val="BodyText"/>
              <w:contextualSpacing/>
              <w:rPr>
                <w:sz w:val="20"/>
                <w:u w:val="single"/>
              </w:rPr>
            </w:pPr>
          </w:p>
        </w:tc>
        <w:tc>
          <w:tcPr>
            <w:tcW w:w="344" w:type="pct"/>
            <w:vAlign w:val="center"/>
          </w:tcPr>
          <w:p w:rsidRPr="00212212" w:rsidR="000459BE" w:rsidP="000459BE" w:rsidRDefault="000459BE" w14:paraId="3A4B769E" w14:textId="77777777">
            <w:pPr>
              <w:spacing w:after="0"/>
              <w:jc w:val="center"/>
              <w:rPr>
                <w:szCs w:val="22"/>
              </w:rPr>
            </w:pPr>
            <w:r w:rsidRPr="00212212">
              <w:rPr>
                <w:szCs w:val="22"/>
              </w:rPr>
              <w:t xml:space="preserve">Yes </w:t>
            </w:r>
            <w:r w:rsidRPr="00212212">
              <w:rPr>
                <w:rFonts w:ascii="Segoe UI Symbol" w:hAnsi="Segoe UI Symbol" w:eastAsia="MS Gothic" w:cs="Segoe UI Symbol"/>
                <w:szCs w:val="22"/>
              </w:rPr>
              <w:t>☐</w:t>
            </w:r>
          </w:p>
          <w:p w:rsidRPr="00212212" w:rsidR="000459BE" w:rsidP="000459BE" w:rsidRDefault="000459BE" w14:paraId="6ACD83F0" w14:textId="7C125BF1">
            <w:pPr>
              <w:spacing w:after="0"/>
              <w:jc w:val="center"/>
              <w:rPr>
                <w:szCs w:val="22"/>
              </w:rPr>
            </w:pPr>
            <w:r w:rsidRPr="00212212">
              <w:rPr>
                <w:szCs w:val="22"/>
              </w:rPr>
              <w:t xml:space="preserve">No  </w:t>
            </w:r>
            <w:r w:rsidRPr="00212212">
              <w:rPr>
                <w:rFonts w:ascii="Segoe UI Symbol" w:hAnsi="Segoe UI Symbol" w:eastAsia="MS Gothic" w:cs="Segoe UI Symbol"/>
                <w:szCs w:val="22"/>
              </w:rPr>
              <w:t>☐</w:t>
            </w:r>
          </w:p>
        </w:tc>
      </w:tr>
      <w:tr w:rsidRPr="00E47B30" w:rsidR="000459BE" w:rsidTr="00E708F1" w14:paraId="223BFDFB" w14:textId="77777777">
        <w:trPr>
          <w:cantSplit/>
          <w:jc w:val="center"/>
        </w:trPr>
        <w:tc>
          <w:tcPr>
            <w:tcW w:w="690" w:type="pct"/>
            <w:shd w:val="clear" w:color="auto" w:fill="auto"/>
          </w:tcPr>
          <w:p w:rsidRPr="00212212" w:rsidR="000459BE" w:rsidP="000459BE" w:rsidRDefault="000459BE" w14:paraId="22D8AB5D" w14:textId="1A1987D9">
            <w:pPr>
              <w:pStyle w:val="BodyText"/>
              <w:spacing w:after="120"/>
            </w:pPr>
            <w:r>
              <w:lastRenderedPageBreak/>
              <w:t>[Audit committee]</w:t>
            </w:r>
          </w:p>
        </w:tc>
        <w:tc>
          <w:tcPr>
            <w:tcW w:w="523" w:type="pct"/>
            <w:shd w:val="clear" w:color="auto" w:fill="auto"/>
          </w:tcPr>
          <w:p w:rsidRPr="00212212" w:rsidR="000459BE" w:rsidP="000459BE" w:rsidRDefault="000459BE" w14:paraId="6D32D1D8" w14:textId="742E6C68">
            <w:pPr>
              <w:pStyle w:val="BodyText"/>
              <w:spacing w:after="120"/>
              <w:jc w:val="center"/>
            </w:pPr>
          </w:p>
        </w:tc>
        <w:tc>
          <w:tcPr>
            <w:tcW w:w="1951" w:type="pct"/>
            <w:shd w:val="clear" w:color="auto" w:fill="auto"/>
          </w:tcPr>
          <w:p w:rsidR="000459BE" w:rsidP="000459BE" w:rsidRDefault="000459BE" w14:paraId="039F6CA9" w14:textId="305A105F">
            <w:pPr>
              <w:pStyle w:val="BodyText"/>
              <w:spacing w:after="120"/>
              <w:rPr>
                <w:szCs w:val="24"/>
              </w:rPr>
            </w:pPr>
            <w:r w:rsidRPr="00E47B30">
              <w:t xml:space="preserve">Items </w:t>
            </w:r>
            <w:hyperlink w:history="1" w:anchor="p-229.407(d)(1)" r:id="rId55">
              <w:r w:rsidRPr="00E47B30">
                <w:rPr>
                  <w:rStyle w:val="Hyperlink"/>
                </w:rPr>
                <w:t>407(d)(1)</w:t>
              </w:r>
            </w:hyperlink>
            <w:r>
              <w:t xml:space="preserve"> </w:t>
            </w:r>
            <w:hyperlink w:history="1" w:anchor="p-229.407(d)(2)" r:id="rId56">
              <w:r w:rsidRPr="00E47B30">
                <w:rPr>
                  <w:rStyle w:val="Hyperlink"/>
                </w:rPr>
                <w:t>407(d)(2)</w:t>
              </w:r>
            </w:hyperlink>
            <w:r>
              <w:t xml:space="preserve"> </w:t>
            </w:r>
            <w:hyperlink w:history="1" w:anchor="p-229.407(d)(3)" r:id="rId57">
              <w:r w:rsidRPr="00E47B30">
                <w:rPr>
                  <w:rStyle w:val="Hyperlink"/>
                </w:rPr>
                <w:t>407(d)(3)</w:t>
              </w:r>
            </w:hyperlink>
            <w:r>
              <w:rPr>
                <w:szCs w:val="24"/>
              </w:rPr>
              <w:t xml:space="preserve"> (Summary)</w:t>
            </w:r>
          </w:p>
          <w:p w:rsidRPr="00E47B30" w:rsidR="000459BE" w:rsidP="000459BE" w:rsidRDefault="000459BE" w14:paraId="36F0B6BE" w14:textId="17506E2D">
            <w:pPr>
              <w:pStyle w:val="BodyText"/>
              <w:rPr>
                <w:szCs w:val="24"/>
              </w:rPr>
            </w:pPr>
            <w:r w:rsidRPr="00E47B30">
              <w:rPr>
                <w:szCs w:val="24"/>
              </w:rPr>
              <w:t>Provide information concerning the audit committee, including:</w:t>
            </w:r>
          </w:p>
          <w:p w:rsidR="000459BE" w:rsidP="000459BE" w:rsidRDefault="000459BE" w14:paraId="0C9AA482" w14:textId="77777777">
            <w:pPr>
              <w:pStyle w:val="ListBullet"/>
            </w:pPr>
            <w:r w:rsidRPr="00E47B30">
              <w:t xml:space="preserve">whether or not the audit committee has a charter; </w:t>
            </w:r>
          </w:p>
          <w:p w:rsidR="000459BE" w:rsidP="000459BE" w:rsidRDefault="000459BE" w14:paraId="04974E1F" w14:textId="77777777">
            <w:pPr>
              <w:pStyle w:val="ListBullet"/>
            </w:pPr>
            <w:r w:rsidRPr="00E47B30">
              <w:t>appointment of a committee member who was not independent under applicable standards and specified related disclosure</w:t>
            </w:r>
            <w:r>
              <w:t>; and</w:t>
            </w:r>
            <w:r w:rsidRPr="002D63CA">
              <w:t xml:space="preserve"> </w:t>
            </w:r>
          </w:p>
          <w:p w:rsidRPr="002D63CA" w:rsidR="000459BE" w:rsidP="000459BE" w:rsidRDefault="000459BE" w14:paraId="6C85A733" w14:textId="5160B7D9">
            <w:pPr>
              <w:pStyle w:val="ListBullet"/>
            </w:pPr>
            <w:r>
              <w:t>disclosure regarding w</w:t>
            </w:r>
            <w:r w:rsidRPr="002D63CA">
              <w:t>hether</w:t>
            </w:r>
            <w:r>
              <w:t xml:space="preserve"> the audit committee</w:t>
            </w:r>
            <w:r w:rsidRPr="002D63CA">
              <w:t xml:space="preserve"> took specified actions concerning the company</w:t>
            </w:r>
            <w:r>
              <w:t>’</w:t>
            </w:r>
            <w:r w:rsidRPr="002D63CA">
              <w:t xml:space="preserve">s financial statements. </w:t>
            </w:r>
          </w:p>
          <w:p w:rsidRPr="00E47B30" w:rsidR="000459BE" w:rsidP="000459BE" w:rsidRDefault="000459BE" w14:paraId="5E6C4204" w14:textId="0A27DE1A">
            <w:pPr>
              <w:pStyle w:val="BodyText"/>
              <w:rPr>
                <w:iCs/>
                <w:szCs w:val="24"/>
              </w:rPr>
            </w:pPr>
            <w:r w:rsidRPr="00E47B30">
              <w:rPr>
                <w:iCs/>
                <w:szCs w:val="24"/>
              </w:rPr>
              <w:t>The name of each audit committee member must appear below the required disclosures</w:t>
            </w:r>
            <w:r>
              <w:rPr>
                <w:iCs/>
                <w:szCs w:val="24"/>
              </w:rPr>
              <w:t xml:space="preserve"> regarding the company’s financial statements</w:t>
            </w:r>
            <w:r w:rsidRPr="00E47B30">
              <w:rPr>
                <w:iCs/>
                <w:szCs w:val="24"/>
              </w:rPr>
              <w:t>.</w:t>
            </w:r>
          </w:p>
          <w:p w:rsidRPr="00AF564E" w:rsidR="000459BE" w:rsidP="000459BE" w:rsidRDefault="000459BE" w14:paraId="51A93B1C" w14:textId="2513EE8E">
            <w:pPr>
              <w:pStyle w:val="BodyText"/>
              <w:rPr>
                <w:iCs/>
                <w:szCs w:val="24"/>
              </w:rPr>
            </w:pPr>
            <w:r w:rsidRPr="00E47B30">
              <w:rPr>
                <w:iCs/>
                <w:szCs w:val="24"/>
              </w:rPr>
              <w:t>Note</w:t>
            </w:r>
            <w:r>
              <w:rPr>
                <w:iCs/>
                <w:szCs w:val="24"/>
              </w:rPr>
              <w:t xml:space="preserve">:  </w:t>
            </w:r>
            <w:r w:rsidRPr="00E47B30">
              <w:rPr>
                <w:iCs/>
                <w:szCs w:val="24"/>
              </w:rPr>
              <w:t xml:space="preserve">the information required by Item 407(d)(1)-(3) is not deemed to be </w:t>
            </w:r>
            <w:r>
              <w:rPr>
                <w:iCs/>
                <w:szCs w:val="24"/>
              </w:rPr>
              <w:t>“</w:t>
            </w:r>
            <w:r w:rsidRPr="00E47B30">
              <w:rPr>
                <w:iCs/>
                <w:szCs w:val="24"/>
              </w:rPr>
              <w:t>soliciting material</w:t>
            </w:r>
            <w:r>
              <w:rPr>
                <w:iCs/>
                <w:szCs w:val="24"/>
              </w:rPr>
              <w:t>”</w:t>
            </w:r>
            <w:r w:rsidRPr="00E47B30">
              <w:rPr>
                <w:iCs/>
                <w:szCs w:val="24"/>
              </w:rPr>
              <w:t xml:space="preserve"> or </w:t>
            </w:r>
            <w:r>
              <w:rPr>
                <w:iCs/>
                <w:szCs w:val="24"/>
              </w:rPr>
              <w:t>“</w:t>
            </w:r>
            <w:r w:rsidRPr="00E47B30">
              <w:rPr>
                <w:iCs/>
                <w:szCs w:val="24"/>
              </w:rPr>
              <w:t>filed,</w:t>
            </w:r>
            <w:r>
              <w:rPr>
                <w:iCs/>
                <w:szCs w:val="24"/>
              </w:rPr>
              <w:t>”</w:t>
            </w:r>
            <w:r w:rsidRPr="00E47B30">
              <w:rPr>
                <w:iCs/>
                <w:szCs w:val="24"/>
              </w:rPr>
              <w:t xml:space="preserve"> nor is it incorporated by reference into other company filings, except to the extent specifically indicated by the company.</w:t>
            </w:r>
          </w:p>
        </w:tc>
        <w:tc>
          <w:tcPr>
            <w:tcW w:w="931" w:type="pct"/>
          </w:tcPr>
          <w:p w:rsidRPr="00212212" w:rsidR="000459BE" w:rsidP="000459BE" w:rsidRDefault="000459BE" w14:paraId="644D93E3" w14:textId="77777777">
            <w:pPr>
              <w:pStyle w:val="BodyText"/>
            </w:pPr>
          </w:p>
        </w:tc>
        <w:tc>
          <w:tcPr>
            <w:tcW w:w="561" w:type="pct"/>
          </w:tcPr>
          <w:p w:rsidRPr="00212212" w:rsidR="000459BE" w:rsidP="000459BE" w:rsidRDefault="000459BE" w14:paraId="0F2F48D4" w14:textId="77777777">
            <w:pPr>
              <w:pStyle w:val="BodyText"/>
              <w:contextualSpacing/>
              <w:rPr>
                <w:sz w:val="20"/>
                <w:u w:val="single"/>
              </w:rPr>
            </w:pPr>
          </w:p>
        </w:tc>
        <w:tc>
          <w:tcPr>
            <w:tcW w:w="344" w:type="pct"/>
            <w:vAlign w:val="center"/>
          </w:tcPr>
          <w:p w:rsidRPr="00E47B30" w:rsidR="000459BE" w:rsidP="000459BE" w:rsidRDefault="000459BE" w14:paraId="3EEB83B5"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212212" w:rsidR="000459BE" w:rsidP="000459BE" w:rsidRDefault="000459BE" w14:paraId="2409ACEE" w14:textId="6C288D4B">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4EA68369" w14:textId="77777777">
        <w:trPr>
          <w:cantSplit/>
          <w:jc w:val="center"/>
        </w:trPr>
        <w:tc>
          <w:tcPr>
            <w:tcW w:w="690" w:type="pct"/>
            <w:shd w:val="clear" w:color="auto" w:fill="auto"/>
          </w:tcPr>
          <w:p w:rsidR="000459BE" w:rsidP="000459BE" w:rsidRDefault="000459BE" w14:paraId="01452657" w14:textId="37D0B6B4">
            <w:pPr>
              <w:pStyle w:val="BodyText"/>
              <w:spacing w:after="120"/>
            </w:pPr>
            <w:r w:rsidRPr="00E47B30">
              <w:lastRenderedPageBreak/>
              <w:t>[Charter of Audit Committee]</w:t>
            </w:r>
          </w:p>
        </w:tc>
        <w:tc>
          <w:tcPr>
            <w:tcW w:w="523" w:type="pct"/>
            <w:shd w:val="clear" w:color="auto" w:fill="auto"/>
          </w:tcPr>
          <w:p w:rsidRPr="00212212" w:rsidR="000459BE" w:rsidP="000459BE" w:rsidRDefault="000459BE" w14:paraId="54DC998B" w14:textId="77777777">
            <w:pPr>
              <w:pStyle w:val="BodyText"/>
              <w:spacing w:after="120"/>
              <w:jc w:val="center"/>
            </w:pPr>
          </w:p>
        </w:tc>
        <w:tc>
          <w:tcPr>
            <w:tcW w:w="1951" w:type="pct"/>
            <w:shd w:val="clear" w:color="auto" w:fill="auto"/>
          </w:tcPr>
          <w:p w:rsidRPr="00342A4F" w:rsidR="000459BE" w:rsidP="000459BE" w:rsidRDefault="000459BE" w14:paraId="5CFDEF6E" w14:textId="77777777">
            <w:pPr>
              <w:pStyle w:val="BodyText"/>
              <w:spacing w:after="120"/>
            </w:pPr>
            <w:r w:rsidRPr="00E47B30">
              <w:t xml:space="preserve">Item </w:t>
            </w:r>
            <w:hyperlink w:history="1" w:anchor="p-229.407(d)(1)" r:id="rId58">
              <w:r w:rsidRPr="00E47B30">
                <w:rPr>
                  <w:rStyle w:val="Hyperlink"/>
                </w:rPr>
                <w:t>407(d)(1)</w:t>
              </w:r>
            </w:hyperlink>
            <w:r>
              <w:t xml:space="preserve"> and </w:t>
            </w:r>
            <w:r w:rsidRPr="00E47B30">
              <w:t xml:space="preserve">Instruction 2 </w:t>
            </w:r>
            <w:r>
              <w:t xml:space="preserve">to Item 407 </w:t>
            </w:r>
            <w:r>
              <w:rPr>
                <w:szCs w:val="24"/>
              </w:rPr>
              <w:t>(Summary)</w:t>
            </w:r>
          </w:p>
          <w:p w:rsidRPr="00E47B30" w:rsidR="000459BE" w:rsidP="000459BE" w:rsidRDefault="000459BE" w14:paraId="14D73936" w14:textId="6A988C7E">
            <w:pPr>
              <w:pStyle w:val="BodyText"/>
              <w:rPr>
                <w:szCs w:val="24"/>
              </w:rPr>
            </w:pPr>
            <w:r w:rsidRPr="00E47B30">
              <w:rPr>
                <w:szCs w:val="24"/>
              </w:rPr>
              <w:t>Disclose whether a current copy of the audit committee charter is available to security holders on the company</w:t>
            </w:r>
            <w:r>
              <w:rPr>
                <w:szCs w:val="24"/>
              </w:rPr>
              <w:t>’</w:t>
            </w:r>
            <w:r w:rsidRPr="00E47B30">
              <w:rPr>
                <w:szCs w:val="24"/>
              </w:rPr>
              <w:t>s website, and if so, provide the company</w:t>
            </w:r>
            <w:r>
              <w:rPr>
                <w:szCs w:val="24"/>
              </w:rPr>
              <w:t>’</w:t>
            </w:r>
            <w:r w:rsidRPr="00E47B30">
              <w:rPr>
                <w:szCs w:val="24"/>
              </w:rPr>
              <w:t xml:space="preserve">s website address. </w:t>
            </w:r>
          </w:p>
          <w:p w:rsidRPr="00E47B30" w:rsidR="000459BE" w:rsidP="000459BE" w:rsidRDefault="000459BE" w14:paraId="1FBA95D3" w14:textId="2A6DAABE">
            <w:pPr>
              <w:pStyle w:val="BodyText"/>
              <w:rPr>
                <w:szCs w:val="24"/>
              </w:rPr>
            </w:pPr>
            <w:r w:rsidRPr="00E47B30">
              <w:rPr>
                <w:szCs w:val="24"/>
              </w:rPr>
              <w:t>If a current copy of the charter is not available to security holders on the company</w:t>
            </w:r>
            <w:r>
              <w:rPr>
                <w:szCs w:val="24"/>
              </w:rPr>
              <w:t>’</w:t>
            </w:r>
            <w:r w:rsidRPr="00E47B30">
              <w:rPr>
                <w:szCs w:val="24"/>
              </w:rPr>
              <w:t>s website, include a copy of the charter in an appendix to the company</w:t>
            </w:r>
            <w:r>
              <w:rPr>
                <w:szCs w:val="24"/>
              </w:rPr>
              <w:t>’</w:t>
            </w:r>
            <w:r w:rsidRPr="00E47B30">
              <w:rPr>
                <w:szCs w:val="24"/>
              </w:rPr>
              <w:t xml:space="preserve">s proxy or information statement that is provided to security holders at least once every three fiscal years, or if the charter has been materially amended since the beginning of the </w:t>
            </w:r>
            <w:r>
              <w:rPr>
                <w:szCs w:val="24"/>
              </w:rPr>
              <w:t>company’</w:t>
            </w:r>
            <w:r w:rsidRPr="00E47B30">
              <w:rPr>
                <w:szCs w:val="24"/>
              </w:rPr>
              <w:t>s last fiscal year.</w:t>
            </w:r>
          </w:p>
          <w:p w:rsidRPr="00E47B30" w:rsidR="000459BE" w:rsidP="000459BE" w:rsidRDefault="000459BE" w14:paraId="2DFB3D58" w14:textId="5D1DE501">
            <w:pPr>
              <w:pStyle w:val="BodyText"/>
              <w:spacing w:after="120"/>
            </w:pPr>
            <w:r w:rsidRPr="00E47B30">
              <w:rPr>
                <w:szCs w:val="24"/>
              </w:rPr>
              <w:t>If a current copy of the charter is not available to security holders on the company</w:t>
            </w:r>
            <w:r>
              <w:rPr>
                <w:szCs w:val="24"/>
              </w:rPr>
              <w:t>’</w:t>
            </w:r>
            <w:r w:rsidRPr="00E47B30">
              <w:rPr>
                <w:szCs w:val="24"/>
              </w:rPr>
              <w:t>s website and is not included as an appendix to the company</w:t>
            </w:r>
            <w:r>
              <w:rPr>
                <w:szCs w:val="24"/>
              </w:rPr>
              <w:t>’</w:t>
            </w:r>
            <w:r w:rsidRPr="00E47B30">
              <w:rPr>
                <w:szCs w:val="24"/>
              </w:rPr>
              <w:t>s proxy or information statement, identify in which of the prior fiscal years the charter was so included in satisfaction of this requirement.</w:t>
            </w:r>
          </w:p>
        </w:tc>
        <w:tc>
          <w:tcPr>
            <w:tcW w:w="931" w:type="pct"/>
          </w:tcPr>
          <w:p w:rsidRPr="00212212" w:rsidR="000459BE" w:rsidP="000459BE" w:rsidRDefault="000459BE" w14:paraId="1A6D21BA" w14:textId="6580CC02">
            <w:pPr>
              <w:pStyle w:val="BodyText"/>
            </w:pPr>
            <w:r>
              <w:t>Note that most companies comply with this requirement by posting the charter on their website.</w:t>
            </w:r>
          </w:p>
        </w:tc>
        <w:tc>
          <w:tcPr>
            <w:tcW w:w="561" w:type="pct"/>
          </w:tcPr>
          <w:p w:rsidRPr="00212212" w:rsidR="000459BE" w:rsidP="000459BE" w:rsidRDefault="000459BE" w14:paraId="67B39E5B" w14:textId="77777777">
            <w:pPr>
              <w:pStyle w:val="BodyText"/>
              <w:contextualSpacing/>
              <w:rPr>
                <w:sz w:val="20"/>
                <w:u w:val="single"/>
              </w:rPr>
            </w:pPr>
          </w:p>
        </w:tc>
        <w:tc>
          <w:tcPr>
            <w:tcW w:w="344" w:type="pct"/>
            <w:vAlign w:val="center"/>
          </w:tcPr>
          <w:p w:rsidRPr="00E47B30" w:rsidR="000459BE" w:rsidP="000459BE" w:rsidRDefault="000459BE" w14:paraId="191F56E0"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70CEF554" w14:textId="6254834C">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1D38ED76" w14:textId="77777777">
        <w:trPr>
          <w:cantSplit/>
          <w:jc w:val="center"/>
        </w:trPr>
        <w:tc>
          <w:tcPr>
            <w:tcW w:w="690" w:type="pct"/>
            <w:shd w:val="clear" w:color="auto" w:fill="auto"/>
          </w:tcPr>
          <w:p w:rsidRPr="00212212" w:rsidR="000459BE" w:rsidP="000459BE" w:rsidRDefault="000459BE" w14:paraId="55F79C8F" w14:textId="6D679BA5">
            <w:pPr>
              <w:pStyle w:val="BodyText"/>
            </w:pPr>
            <w:r w:rsidRPr="00E47B30">
              <w:t>[Audit Committee Report]</w:t>
            </w:r>
          </w:p>
        </w:tc>
        <w:tc>
          <w:tcPr>
            <w:tcW w:w="523" w:type="pct"/>
            <w:shd w:val="clear" w:color="auto" w:fill="auto"/>
          </w:tcPr>
          <w:p w:rsidRPr="00212212" w:rsidR="000459BE" w:rsidP="000459BE" w:rsidRDefault="000459BE" w14:paraId="173DF6A3" w14:textId="0CA5686A">
            <w:pPr>
              <w:pStyle w:val="BodyText"/>
              <w:spacing w:after="120"/>
              <w:jc w:val="center"/>
            </w:pPr>
          </w:p>
        </w:tc>
        <w:tc>
          <w:tcPr>
            <w:tcW w:w="1951" w:type="pct"/>
            <w:shd w:val="clear" w:color="auto" w:fill="auto"/>
          </w:tcPr>
          <w:p w:rsidR="000459BE" w:rsidP="000459BE" w:rsidRDefault="000459BE" w14:paraId="0EA3287A" w14:textId="23CDD397">
            <w:pPr>
              <w:pStyle w:val="BodyText"/>
              <w:rPr>
                <w:szCs w:val="24"/>
              </w:rPr>
            </w:pPr>
            <w:r w:rsidRPr="00E47B30">
              <w:t xml:space="preserve">Item </w:t>
            </w:r>
            <w:hyperlink w:history="1" w:anchor="p-229.407(d)(3)" r:id="rId59">
              <w:r w:rsidRPr="00E47B30">
                <w:rPr>
                  <w:rStyle w:val="Hyperlink"/>
                </w:rPr>
                <w:t>407(d)(3)</w:t>
              </w:r>
            </w:hyperlink>
            <w:r>
              <w:rPr>
                <w:szCs w:val="24"/>
              </w:rPr>
              <w:t xml:space="preserve"> (Summary)</w:t>
            </w:r>
          </w:p>
          <w:p w:rsidRPr="00212212" w:rsidR="000459BE" w:rsidP="000459BE" w:rsidRDefault="000459BE" w14:paraId="3F2B9924" w14:textId="4584B66D">
            <w:pPr>
              <w:pStyle w:val="BodyText"/>
              <w:rPr>
                <w:szCs w:val="24"/>
              </w:rPr>
            </w:pPr>
            <w:r w:rsidRPr="00E47B30">
              <w:rPr>
                <w:szCs w:val="24"/>
              </w:rPr>
              <w:t xml:space="preserve">Item 407(d)(3) requires the audit committee report to state that the audit committee </w:t>
            </w:r>
            <w:r>
              <w:rPr>
                <w:szCs w:val="24"/>
              </w:rPr>
              <w:t>“</w:t>
            </w:r>
            <w:r w:rsidRPr="00E47B30">
              <w:rPr>
                <w:szCs w:val="24"/>
              </w:rPr>
              <w:t xml:space="preserve">has received the written disclosures and the letter from the independent accountant required by applicable requirements of the Public </w:t>
            </w:r>
            <w:r>
              <w:rPr>
                <w:szCs w:val="24"/>
              </w:rPr>
              <w:t>Co</w:t>
            </w:r>
            <w:r w:rsidRPr="00E47B30">
              <w:rPr>
                <w:szCs w:val="24"/>
              </w:rPr>
              <w:t>mpany Accounting Oversight Board regarding the independent accountant</w:t>
            </w:r>
            <w:r>
              <w:rPr>
                <w:szCs w:val="24"/>
              </w:rPr>
              <w:t>’</w:t>
            </w:r>
            <w:r w:rsidRPr="00E47B30">
              <w:rPr>
                <w:szCs w:val="24"/>
              </w:rPr>
              <w:t>s communications with the audit committee concerning independence and has discussed with the independent accountant the independent accountant</w:t>
            </w:r>
            <w:r>
              <w:rPr>
                <w:szCs w:val="24"/>
              </w:rPr>
              <w:t>’</w:t>
            </w:r>
            <w:r w:rsidRPr="00E47B30">
              <w:rPr>
                <w:szCs w:val="24"/>
              </w:rPr>
              <w:t>s independence.</w:t>
            </w:r>
            <w:r>
              <w:rPr>
                <w:szCs w:val="24"/>
              </w:rPr>
              <w:t>”</w:t>
            </w:r>
          </w:p>
        </w:tc>
        <w:tc>
          <w:tcPr>
            <w:tcW w:w="931" w:type="pct"/>
          </w:tcPr>
          <w:p w:rsidRPr="00212212" w:rsidR="000459BE" w:rsidP="000459BE" w:rsidRDefault="000459BE" w14:paraId="069ED053" w14:textId="77777777">
            <w:pPr>
              <w:pStyle w:val="BodyText"/>
            </w:pPr>
          </w:p>
        </w:tc>
        <w:tc>
          <w:tcPr>
            <w:tcW w:w="561" w:type="pct"/>
          </w:tcPr>
          <w:p w:rsidRPr="00212212" w:rsidR="000459BE" w:rsidP="000459BE" w:rsidRDefault="000459BE" w14:paraId="15AAB641" w14:textId="77777777">
            <w:pPr>
              <w:pStyle w:val="BodyText"/>
              <w:contextualSpacing/>
              <w:rPr>
                <w:sz w:val="20"/>
                <w:u w:val="single"/>
              </w:rPr>
            </w:pPr>
          </w:p>
        </w:tc>
        <w:tc>
          <w:tcPr>
            <w:tcW w:w="344" w:type="pct"/>
            <w:vAlign w:val="center"/>
          </w:tcPr>
          <w:p w:rsidRPr="00E47B30" w:rsidR="000459BE" w:rsidP="000459BE" w:rsidRDefault="000459BE" w14:paraId="5A67E232"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511E94A2" w14:textId="5E5D7AD8">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07A5B578" w14:textId="77777777">
        <w:trPr>
          <w:cantSplit/>
          <w:jc w:val="center"/>
        </w:trPr>
        <w:tc>
          <w:tcPr>
            <w:tcW w:w="690" w:type="pct"/>
            <w:shd w:val="clear" w:color="auto" w:fill="auto"/>
          </w:tcPr>
          <w:p w:rsidRPr="00212212" w:rsidR="000459BE" w:rsidP="000459BE" w:rsidRDefault="000459BE" w14:paraId="4DDA76CC" w14:textId="153C6596">
            <w:pPr>
              <w:pStyle w:val="BodyText"/>
              <w:spacing w:after="120"/>
            </w:pPr>
            <w:r w:rsidRPr="00E47B30">
              <w:lastRenderedPageBreak/>
              <w:t>[Audit Committee]</w:t>
            </w:r>
          </w:p>
        </w:tc>
        <w:tc>
          <w:tcPr>
            <w:tcW w:w="523" w:type="pct"/>
            <w:shd w:val="clear" w:color="auto" w:fill="auto"/>
          </w:tcPr>
          <w:p w:rsidRPr="00212212" w:rsidR="000459BE" w:rsidP="000459BE" w:rsidRDefault="000D00E3" w14:paraId="510C5FFA" w14:textId="70B67154">
            <w:pPr>
              <w:pStyle w:val="BodyText"/>
              <w:spacing w:after="120"/>
              <w:jc w:val="center"/>
            </w:pPr>
            <w:hyperlink w:history="1" w:anchor="p-229.407(d)(4)" r:id="rId60">
              <w:r w:rsidRPr="00620707" w:rsidR="000459BE">
                <w:rPr>
                  <w:rStyle w:val="Hyperlink"/>
                </w:rPr>
                <w:t>407(d)(4)</w:t>
              </w:r>
            </w:hyperlink>
          </w:p>
        </w:tc>
        <w:tc>
          <w:tcPr>
            <w:tcW w:w="1951" w:type="pct"/>
            <w:shd w:val="clear" w:color="auto" w:fill="auto"/>
          </w:tcPr>
          <w:p w:rsidR="000459BE" w:rsidP="000459BE" w:rsidRDefault="000459BE" w14:paraId="1448F79A" w14:textId="3EEDBB20">
            <w:pPr>
              <w:spacing w:after="240"/>
            </w:pPr>
            <w:r w:rsidRPr="00E47B30">
              <w:t xml:space="preserve">Item </w:t>
            </w:r>
            <w:hyperlink w:history="1" w:anchor="p-229.407(d)(4)" r:id="rId61">
              <w:r w:rsidRPr="00E47B30">
                <w:rPr>
                  <w:rStyle w:val="Hyperlink"/>
                </w:rPr>
                <w:t>407(d)(4)</w:t>
              </w:r>
            </w:hyperlink>
            <w:r>
              <w:t xml:space="preserve"> (Summary)</w:t>
            </w:r>
          </w:p>
          <w:p w:rsidR="000459BE" w:rsidP="000459BE" w:rsidRDefault="000459BE" w14:paraId="32210DC5" w14:textId="68D11D5B">
            <w:pPr>
              <w:spacing w:after="240"/>
            </w:pPr>
            <w:r>
              <w:t>If the company is a “</w:t>
            </w:r>
            <w:hyperlink w:history="1" r:id="rId62">
              <w:r w:rsidRPr="00B338F4">
                <w:rPr>
                  <w:rStyle w:val="Hyperlink"/>
                </w:rPr>
                <w:t>listed issuer</w:t>
              </w:r>
            </w:hyperlink>
            <w:r>
              <w:t>” and is filing an annual report on Form 10-K or a proxy or information statement for a meeting at which directors will be elected and the company is not relying on an exemption under Rule 10A-3(c)(2) or (c)(4)-(c)(7):</w:t>
            </w:r>
          </w:p>
          <w:p w:rsidR="000459BE" w:rsidP="000459BE" w:rsidRDefault="000459BE" w14:paraId="2E50DBAE" w14:textId="2FFF7943">
            <w:pPr>
              <w:pStyle w:val="ListParagraph"/>
              <w:numPr>
                <w:ilvl w:val="0"/>
                <w:numId w:val="36"/>
              </w:numPr>
            </w:pPr>
            <w:r>
              <w:t>State</w:t>
            </w:r>
            <w:r w:rsidRPr="00E47B30">
              <w:t xml:space="preserve"> whether or not the company has a separately designated audit committee or a committee performing similar functions. </w:t>
            </w:r>
          </w:p>
          <w:p w:rsidR="000459BE" w:rsidP="000459BE" w:rsidRDefault="000459BE" w14:paraId="2A400E0F" w14:textId="76DBD6C7">
            <w:pPr>
              <w:pStyle w:val="ListParagraph"/>
              <w:numPr>
                <w:ilvl w:val="0"/>
                <w:numId w:val="36"/>
              </w:numPr>
            </w:pPr>
            <w:r w:rsidRPr="00E47B30">
              <w:t>If it does, identify each member.</w:t>
            </w:r>
          </w:p>
          <w:p w:rsidRPr="00E47B30" w:rsidR="000459BE" w:rsidP="000459BE" w:rsidRDefault="000459BE" w14:paraId="6ACB8F85" w14:textId="39A82D05">
            <w:pPr>
              <w:pStyle w:val="ListParagraph"/>
              <w:numPr>
                <w:ilvl w:val="0"/>
                <w:numId w:val="36"/>
              </w:numPr>
            </w:pPr>
            <w:r>
              <w:t>If the entire board acts as the audit committee, state that fact.</w:t>
            </w:r>
          </w:p>
          <w:p w:rsidRPr="00E47B30" w:rsidR="000459BE" w:rsidP="000459BE" w:rsidRDefault="000459BE" w14:paraId="62CADAED" w14:textId="71DA823F">
            <w:pPr>
              <w:pStyle w:val="BodyText"/>
              <w:spacing w:after="120"/>
            </w:pPr>
            <w:r w:rsidRPr="00E47B30">
              <w:t xml:space="preserve">Note that in specific cases this disclosure is subject to additional </w:t>
            </w:r>
            <w:r>
              <w:t xml:space="preserve">disclosure </w:t>
            </w:r>
            <w:r w:rsidRPr="00E47B30">
              <w:t xml:space="preserve">requirements and </w:t>
            </w:r>
            <w:r>
              <w:t>limited</w:t>
            </w:r>
            <w:r w:rsidRPr="00E47B30">
              <w:t xml:space="preserve"> exemptions</w:t>
            </w:r>
            <w:r>
              <w:t xml:space="preserve"> under </w:t>
            </w:r>
            <w:r w:rsidRPr="00DF7B5B">
              <w:t>Item 407(d)(4)(ii)</w:t>
            </w:r>
            <w:r>
              <w:t xml:space="preserve"> and Rule 10A-3.</w:t>
            </w:r>
          </w:p>
        </w:tc>
        <w:tc>
          <w:tcPr>
            <w:tcW w:w="931" w:type="pct"/>
          </w:tcPr>
          <w:p w:rsidRPr="007F07FB" w:rsidR="000459BE" w:rsidP="000459BE" w:rsidRDefault="000459BE" w14:paraId="1B3D9F86" w14:textId="4E385E99">
            <w:pPr>
              <w:pStyle w:val="BodyText"/>
            </w:pPr>
          </w:p>
        </w:tc>
        <w:tc>
          <w:tcPr>
            <w:tcW w:w="561" w:type="pct"/>
          </w:tcPr>
          <w:p w:rsidRPr="00212212" w:rsidR="000459BE" w:rsidP="000459BE" w:rsidRDefault="000459BE" w14:paraId="261DA0F6" w14:textId="77777777">
            <w:pPr>
              <w:pStyle w:val="BodyText"/>
              <w:contextualSpacing/>
              <w:rPr>
                <w:sz w:val="20"/>
                <w:u w:val="single"/>
              </w:rPr>
            </w:pPr>
          </w:p>
        </w:tc>
        <w:tc>
          <w:tcPr>
            <w:tcW w:w="344" w:type="pct"/>
            <w:vAlign w:val="center"/>
          </w:tcPr>
          <w:p w:rsidRPr="00E47B30" w:rsidR="000459BE" w:rsidP="000459BE" w:rsidRDefault="000459BE" w14:paraId="11A98C93"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59B4C991" w14:textId="30828B7E">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07C11D52" w14:textId="77777777">
        <w:trPr>
          <w:cantSplit/>
          <w:jc w:val="center"/>
        </w:trPr>
        <w:tc>
          <w:tcPr>
            <w:tcW w:w="690" w:type="pct"/>
            <w:shd w:val="clear" w:color="auto" w:fill="auto"/>
          </w:tcPr>
          <w:p w:rsidRPr="00E47B30" w:rsidR="000459BE" w:rsidP="000459BE" w:rsidRDefault="000459BE" w14:paraId="0E25D7B5" w14:textId="77777777">
            <w:r w:rsidRPr="00E47B30">
              <w:lastRenderedPageBreak/>
              <w:t>[Audit Committee Financial Expert]</w:t>
            </w:r>
          </w:p>
          <w:p w:rsidRPr="00212212" w:rsidR="000459BE" w:rsidP="000459BE" w:rsidRDefault="000459BE" w14:paraId="05C991D5" w14:textId="77777777">
            <w:pPr>
              <w:pStyle w:val="BodyText"/>
              <w:spacing w:after="120"/>
            </w:pPr>
          </w:p>
        </w:tc>
        <w:tc>
          <w:tcPr>
            <w:tcW w:w="523" w:type="pct"/>
            <w:shd w:val="clear" w:color="auto" w:fill="auto"/>
          </w:tcPr>
          <w:p w:rsidRPr="00212212" w:rsidR="000459BE" w:rsidP="000459BE" w:rsidRDefault="000D00E3" w14:paraId="20EC40FE" w14:textId="49DF59B3">
            <w:pPr>
              <w:pStyle w:val="BodyText"/>
              <w:spacing w:after="120"/>
              <w:jc w:val="center"/>
            </w:pPr>
            <w:hyperlink w:history="1" w:anchor="p-229.407(d)(5)" r:id="rId63">
              <w:r w:rsidRPr="00620707" w:rsidR="000459BE">
                <w:rPr>
                  <w:rStyle w:val="Hyperlink"/>
                </w:rPr>
                <w:t>407(d)(5)</w:t>
              </w:r>
            </w:hyperlink>
          </w:p>
        </w:tc>
        <w:tc>
          <w:tcPr>
            <w:tcW w:w="1951" w:type="pct"/>
            <w:shd w:val="clear" w:color="auto" w:fill="auto"/>
          </w:tcPr>
          <w:p w:rsidR="000459BE" w:rsidP="000459BE" w:rsidRDefault="000459BE" w14:paraId="6447BA32" w14:textId="0B335BA6">
            <w:pPr>
              <w:pStyle w:val="BodyText"/>
              <w:spacing w:after="120"/>
            </w:pPr>
            <w:r w:rsidRPr="00E47B30">
              <w:t xml:space="preserve">Item </w:t>
            </w:r>
            <w:hyperlink w:history="1" w:anchor="p-229.407(d)(5)" r:id="rId64">
              <w:r w:rsidRPr="00E47B30">
                <w:rPr>
                  <w:rStyle w:val="Hyperlink"/>
                </w:rPr>
                <w:t>407(d)(5)</w:t>
              </w:r>
            </w:hyperlink>
            <w:r>
              <w:t xml:space="preserve"> (Summary)</w:t>
            </w:r>
          </w:p>
          <w:p w:rsidRPr="00345658" w:rsidR="000459BE" w:rsidP="000459BE" w:rsidRDefault="000459BE" w14:paraId="1C4CED0C" w14:textId="77777777">
            <w:pPr>
              <w:rPr>
                <w:b/>
                <w:bCs/>
              </w:rPr>
            </w:pPr>
            <w:r w:rsidRPr="00345658">
              <w:rPr>
                <w:b/>
                <w:bCs/>
              </w:rPr>
              <w:t>Required in Form 10-K</w:t>
            </w:r>
          </w:p>
          <w:p w:rsidRPr="00345658" w:rsidR="000459BE" w:rsidP="000459BE" w:rsidRDefault="00BC2663" w14:paraId="4E2EB455" w14:textId="092E1323">
            <w:pPr>
              <w:rPr>
                <w:b/>
                <w:bCs/>
              </w:rPr>
            </w:pPr>
            <w:r>
              <w:rPr>
                <w:b/>
                <w:bCs/>
              </w:rPr>
              <w:t>Required</w:t>
            </w:r>
            <w:r w:rsidRPr="00345658" w:rsidR="000459BE">
              <w:rPr>
                <w:b/>
                <w:bCs/>
              </w:rPr>
              <w:t xml:space="preserve"> in</w:t>
            </w:r>
            <w:r>
              <w:rPr>
                <w:b/>
                <w:bCs/>
              </w:rPr>
              <w:t xml:space="preserve"> the</w:t>
            </w:r>
            <w:r w:rsidRPr="00345658" w:rsidR="000459BE">
              <w:rPr>
                <w:b/>
                <w:bCs/>
              </w:rPr>
              <w:t xml:space="preserve"> proxy statement</w:t>
            </w:r>
            <w:r>
              <w:rPr>
                <w:b/>
                <w:bCs/>
              </w:rPr>
              <w:t xml:space="preserve"> </w:t>
            </w:r>
            <w:r w:rsidRPr="00345658" w:rsidR="000459BE">
              <w:rPr>
                <w:b/>
                <w:bCs/>
              </w:rPr>
              <w:t xml:space="preserve">if </w:t>
            </w:r>
            <w:r>
              <w:rPr>
                <w:b/>
                <w:bCs/>
              </w:rPr>
              <w:t xml:space="preserve">the </w:t>
            </w:r>
            <w:r w:rsidRPr="00345658" w:rsidR="000459BE">
              <w:rPr>
                <w:b/>
                <w:bCs/>
              </w:rPr>
              <w:t>Form 10-K has incorporated this disclosure by reference</w:t>
            </w:r>
            <w:r>
              <w:rPr>
                <w:b/>
                <w:bCs/>
              </w:rPr>
              <w:t>; otherwise optional/not required in the proxy statement</w:t>
            </w:r>
          </w:p>
          <w:p w:rsidR="000459BE" w:rsidP="000459BE" w:rsidRDefault="000459BE" w14:paraId="4EEBE4D2" w14:textId="7E9D322F">
            <w:pPr>
              <w:pStyle w:val="BodyText"/>
              <w:spacing w:after="120"/>
            </w:pPr>
            <w:r>
              <w:t>Schedule 14A does not require Item 407(d)(5) disclosure.</w:t>
            </w:r>
            <w:r w:rsidR="00CA3381">
              <w:t xml:space="preserve"> </w:t>
            </w:r>
            <w:r>
              <w:t>However, an instruction to Item 407(d)(5) permits a company to include this disclosure in its definitive proxy statement and incorporate this disclosure into the company’s Form 10-K annual report.</w:t>
            </w:r>
          </w:p>
          <w:p w:rsidR="000459BE" w:rsidP="000459BE" w:rsidRDefault="000459BE" w14:paraId="1FF07FC8" w14:textId="05D4C73B">
            <w:pPr>
              <w:pStyle w:val="BodyText"/>
              <w:numPr>
                <w:ilvl w:val="0"/>
                <w:numId w:val="37"/>
              </w:numPr>
              <w:spacing w:after="120"/>
            </w:pPr>
            <w:r>
              <w:t>Item 407(d)(5) requires the company to disclose</w:t>
            </w:r>
            <w:r w:rsidRPr="00E47B30">
              <w:t xml:space="preserve"> whether or not the board of directors has determined that it has at least one </w:t>
            </w:r>
            <w:r>
              <w:t>“</w:t>
            </w:r>
            <w:r w:rsidRPr="00E47B30">
              <w:t>audit committee financial expert</w:t>
            </w:r>
            <w:r>
              <w:t>”</w:t>
            </w:r>
            <w:r w:rsidRPr="00E47B30">
              <w:t xml:space="preserve"> </w:t>
            </w:r>
            <w:r>
              <w:t>serving on the audit committee.</w:t>
            </w:r>
          </w:p>
          <w:p w:rsidR="000459BE" w:rsidP="000459BE" w:rsidRDefault="000459BE" w14:paraId="31C4EACE" w14:textId="6462F0C5">
            <w:pPr>
              <w:pStyle w:val="BodyText"/>
              <w:numPr>
                <w:ilvl w:val="0"/>
                <w:numId w:val="37"/>
              </w:numPr>
              <w:spacing w:after="120"/>
            </w:pPr>
            <w:r w:rsidRPr="00E47B30">
              <w:t xml:space="preserve">The name of the individual and whether or not he or she is independent under applicable listing standards must be disclosed. </w:t>
            </w:r>
            <w:r>
              <w:t>The company</w:t>
            </w:r>
            <w:r w:rsidRPr="00E47B30">
              <w:t xml:space="preserve"> may disclose this information for more than one audit committee member</w:t>
            </w:r>
            <w:r>
              <w:t>.</w:t>
            </w:r>
          </w:p>
          <w:p w:rsidR="000459BE" w:rsidP="000459BE" w:rsidRDefault="000459BE" w14:paraId="0E67E9DD" w14:textId="21D7C35A">
            <w:pPr>
              <w:pStyle w:val="BodyText"/>
              <w:numPr>
                <w:ilvl w:val="0"/>
                <w:numId w:val="37"/>
              </w:numPr>
              <w:spacing w:after="120"/>
            </w:pPr>
            <w:r>
              <w:t>If the company does not have an audit committee financial expert, the company must disclose this fact and why the company has no audit committee financial expert</w:t>
            </w:r>
            <w:r w:rsidRPr="00E47B30">
              <w:t>.</w:t>
            </w:r>
          </w:p>
          <w:p w:rsidRPr="00E47B30" w:rsidR="000459BE" w:rsidP="000459BE" w:rsidRDefault="000459BE" w14:paraId="228614FC" w14:textId="336B3ED4">
            <w:pPr>
              <w:pStyle w:val="BodyText"/>
              <w:spacing w:after="120"/>
            </w:pPr>
          </w:p>
        </w:tc>
        <w:tc>
          <w:tcPr>
            <w:tcW w:w="931" w:type="pct"/>
          </w:tcPr>
          <w:p w:rsidRPr="00212212" w:rsidR="000459BE" w:rsidP="000459BE" w:rsidRDefault="000459BE" w14:paraId="0CDFD0AE" w14:textId="40DCD737">
            <w:pPr>
              <w:pStyle w:val="BodyText"/>
            </w:pPr>
            <w:r>
              <w:t>Instruction 1 to Item 407(d)(5) provides that “[t]he</w:t>
            </w:r>
            <w:r w:rsidRPr="00733836">
              <w:t xml:space="preserve"> disclosure under paragraph (d)(5) of this Item is required only in a </w:t>
            </w:r>
            <w:r>
              <w:t>[company’s]</w:t>
            </w:r>
            <w:r w:rsidRPr="00733836">
              <w:t xml:space="preserve"> annual report. The </w:t>
            </w:r>
            <w:r>
              <w:t>[company]</w:t>
            </w:r>
            <w:r w:rsidRPr="00733836">
              <w:t xml:space="preserve"> need not provide the disclosure required by paragraph (d)(5) of this Item in a proxy or information statement unless that </w:t>
            </w:r>
            <w:r>
              <w:t>[company]</w:t>
            </w:r>
            <w:r w:rsidRPr="00733836">
              <w:t xml:space="preserve"> is electing to incorporate this information by reference from the proxy or information statement into its annual report pursuant to General Instruction G(3) to Form 10-K</w:t>
            </w:r>
            <w:r>
              <w:t>.”</w:t>
            </w:r>
          </w:p>
        </w:tc>
        <w:tc>
          <w:tcPr>
            <w:tcW w:w="561" w:type="pct"/>
          </w:tcPr>
          <w:p w:rsidRPr="00212212" w:rsidR="000459BE" w:rsidP="000459BE" w:rsidRDefault="000459BE" w14:paraId="0155617B" w14:textId="1BCB1128">
            <w:pPr>
              <w:pStyle w:val="BodyText"/>
              <w:contextualSpacing/>
              <w:rPr>
                <w:sz w:val="20"/>
                <w:u w:val="single"/>
              </w:rPr>
            </w:pPr>
          </w:p>
        </w:tc>
        <w:tc>
          <w:tcPr>
            <w:tcW w:w="344" w:type="pct"/>
            <w:vAlign w:val="center"/>
          </w:tcPr>
          <w:p w:rsidRPr="00E47B30" w:rsidR="000459BE" w:rsidP="000459BE" w:rsidRDefault="000459BE" w14:paraId="5663FD31"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43895CFD" w14:textId="54F52AF9">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3EED0017" w14:textId="77777777">
        <w:trPr>
          <w:cantSplit/>
          <w:jc w:val="center"/>
        </w:trPr>
        <w:tc>
          <w:tcPr>
            <w:tcW w:w="690" w:type="pct"/>
            <w:shd w:val="clear" w:color="auto" w:fill="auto"/>
          </w:tcPr>
          <w:p w:rsidRPr="00212212" w:rsidR="000459BE" w:rsidP="000459BE" w:rsidRDefault="000459BE" w14:paraId="70C6DF51" w14:textId="40E7DD28">
            <w:pPr>
              <w:pStyle w:val="BodyText"/>
              <w:spacing w:after="120"/>
            </w:pPr>
            <w:r w:rsidRPr="00E47B30">
              <w:lastRenderedPageBreak/>
              <w:t>[Compensation Committee]</w:t>
            </w:r>
          </w:p>
        </w:tc>
        <w:tc>
          <w:tcPr>
            <w:tcW w:w="523" w:type="pct"/>
            <w:shd w:val="clear" w:color="auto" w:fill="auto"/>
          </w:tcPr>
          <w:p w:rsidRPr="00212212" w:rsidR="000459BE" w:rsidP="000459BE" w:rsidRDefault="000459BE" w14:paraId="18721E17" w14:textId="59A224CD">
            <w:pPr>
              <w:pStyle w:val="BodyText"/>
              <w:spacing w:after="120"/>
              <w:jc w:val="center"/>
            </w:pPr>
          </w:p>
        </w:tc>
        <w:tc>
          <w:tcPr>
            <w:tcW w:w="1951" w:type="pct"/>
            <w:shd w:val="clear" w:color="auto" w:fill="auto"/>
          </w:tcPr>
          <w:p w:rsidR="000459BE" w:rsidP="000459BE" w:rsidRDefault="000459BE" w14:paraId="2B743DB8" w14:textId="3C15A975">
            <w:pPr>
              <w:pStyle w:val="BodyText"/>
              <w:spacing w:after="120"/>
              <w:rPr>
                <w:iCs/>
                <w:szCs w:val="24"/>
              </w:rPr>
            </w:pPr>
            <w:r w:rsidRPr="00E47B30">
              <w:t xml:space="preserve">Items </w:t>
            </w:r>
            <w:hyperlink w:history="1" w:anchor="p-229.407(e)(1)" r:id="rId65">
              <w:r w:rsidRPr="00E47B30">
                <w:rPr>
                  <w:rStyle w:val="Hyperlink"/>
                </w:rPr>
                <w:t>407(e)(1)</w:t>
              </w:r>
            </w:hyperlink>
            <w:r>
              <w:t xml:space="preserve">, </w:t>
            </w:r>
            <w:hyperlink w:history="1" w:anchor="p-229.407(e)(2)" r:id="rId66">
              <w:r w:rsidRPr="00E47B30">
                <w:rPr>
                  <w:rStyle w:val="Hyperlink"/>
                </w:rPr>
                <w:t>407(e)(2)</w:t>
              </w:r>
            </w:hyperlink>
            <w:r>
              <w:t xml:space="preserve"> and </w:t>
            </w:r>
            <w:hyperlink w:history="1" w:anchor="p-229.407(e)(3)" r:id="rId67">
              <w:r w:rsidRPr="00E47B30">
                <w:rPr>
                  <w:rStyle w:val="Hyperlink"/>
                </w:rPr>
                <w:t>407(e)(3)</w:t>
              </w:r>
            </w:hyperlink>
            <w:r>
              <w:rPr>
                <w:iCs/>
                <w:szCs w:val="24"/>
              </w:rPr>
              <w:t xml:space="preserve"> (Summary)</w:t>
            </w:r>
          </w:p>
          <w:p w:rsidRPr="00615DFC" w:rsidR="000459BE" w:rsidP="000459BE" w:rsidRDefault="000459BE" w14:paraId="05D22B96" w14:textId="00117ADE">
            <w:pPr>
              <w:autoSpaceDE w:val="0"/>
              <w:autoSpaceDN w:val="0"/>
              <w:adjustRightInd w:val="0"/>
              <w:spacing w:after="240"/>
              <w:rPr>
                <w:iCs/>
                <w:szCs w:val="24"/>
              </w:rPr>
            </w:pPr>
            <w:r w:rsidRPr="00615DFC">
              <w:rPr>
                <w:iCs/>
                <w:szCs w:val="24"/>
              </w:rPr>
              <w:t>Disclose compensation committee</w:t>
            </w:r>
            <w:r>
              <w:rPr>
                <w:iCs/>
                <w:szCs w:val="24"/>
              </w:rPr>
              <w:t>’</w:t>
            </w:r>
            <w:r w:rsidRPr="00615DFC">
              <w:rPr>
                <w:iCs/>
                <w:szCs w:val="24"/>
              </w:rPr>
              <w:t>s existence or the basis for the company not having a</w:t>
            </w:r>
            <w:r>
              <w:rPr>
                <w:iCs/>
                <w:szCs w:val="24"/>
              </w:rPr>
              <w:t xml:space="preserve"> compensation </w:t>
            </w:r>
            <w:r w:rsidRPr="00615DFC">
              <w:rPr>
                <w:iCs/>
                <w:szCs w:val="24"/>
              </w:rPr>
              <w:t>committee</w:t>
            </w:r>
            <w:r>
              <w:rPr>
                <w:iCs/>
                <w:szCs w:val="24"/>
              </w:rPr>
              <w:t>.</w:t>
            </w:r>
          </w:p>
          <w:p w:rsidRPr="00615DFC" w:rsidR="000459BE" w:rsidP="000459BE" w:rsidRDefault="000459BE" w14:paraId="6ADEBE94" w14:textId="5B5C1E91">
            <w:pPr>
              <w:autoSpaceDE w:val="0"/>
              <w:autoSpaceDN w:val="0"/>
              <w:adjustRightInd w:val="0"/>
              <w:spacing w:after="240"/>
              <w:rPr>
                <w:iCs/>
                <w:szCs w:val="24"/>
              </w:rPr>
            </w:pPr>
            <w:r>
              <w:rPr>
                <w:iCs/>
                <w:szCs w:val="24"/>
              </w:rPr>
              <w:t>Disclose whether compensation committee has a charter and provide relate</w:t>
            </w:r>
            <w:r w:rsidRPr="00615DFC">
              <w:rPr>
                <w:iCs/>
                <w:szCs w:val="24"/>
              </w:rPr>
              <w:t>d disclosure</w:t>
            </w:r>
            <w:r>
              <w:rPr>
                <w:iCs/>
                <w:szCs w:val="24"/>
              </w:rPr>
              <w:t>.</w:t>
            </w:r>
          </w:p>
          <w:p w:rsidRPr="00E47B30" w:rsidR="000459BE" w:rsidP="000459BE" w:rsidRDefault="000459BE" w14:paraId="6C023DFE" w14:textId="4A454971">
            <w:pPr>
              <w:autoSpaceDE w:val="0"/>
              <w:autoSpaceDN w:val="0"/>
              <w:adjustRightInd w:val="0"/>
              <w:spacing w:after="240"/>
              <w:rPr>
                <w:iCs/>
                <w:szCs w:val="24"/>
              </w:rPr>
            </w:pPr>
            <w:r w:rsidRPr="00E47B30">
              <w:rPr>
                <w:iCs/>
                <w:szCs w:val="24"/>
              </w:rPr>
              <w:t>Provide a narrative description of the company</w:t>
            </w:r>
            <w:r>
              <w:rPr>
                <w:iCs/>
                <w:szCs w:val="24"/>
              </w:rPr>
              <w:t>’</w:t>
            </w:r>
            <w:r w:rsidRPr="00E47B30">
              <w:rPr>
                <w:iCs/>
                <w:szCs w:val="24"/>
              </w:rPr>
              <w:t>s processes and procedures for consideration and determination of executive officer and director compensation, including:</w:t>
            </w:r>
          </w:p>
          <w:p w:rsidRPr="00E47B30" w:rsidR="000459BE" w:rsidP="000459BE" w:rsidRDefault="000459BE" w14:paraId="2D111B5B" w14:textId="5012C8F4">
            <w:pPr>
              <w:pStyle w:val="ListBullet"/>
            </w:pPr>
            <w:r w:rsidRPr="00E47B30">
              <w:t>the scope of the committee</w:t>
            </w:r>
            <w:r>
              <w:t>’</w:t>
            </w:r>
            <w:r w:rsidRPr="00E47B30">
              <w:t>s authority;</w:t>
            </w:r>
          </w:p>
          <w:p w:rsidRPr="00E47B30" w:rsidR="000459BE" w:rsidP="000459BE" w:rsidRDefault="000459BE" w14:paraId="0453430F" w14:textId="77777777">
            <w:pPr>
              <w:pStyle w:val="ListBullet"/>
            </w:pPr>
            <w:r w:rsidRPr="00E47B30">
              <w:t>the extent to which its authority may be delegated to others, including what authority and to whom;</w:t>
            </w:r>
          </w:p>
          <w:p w:rsidRPr="00E47B30" w:rsidR="000459BE" w:rsidP="000459BE" w:rsidRDefault="000459BE" w14:paraId="0940577E" w14:textId="77777777">
            <w:pPr>
              <w:pStyle w:val="ListBullet"/>
            </w:pPr>
            <w:r w:rsidRPr="00E47B30">
              <w:t xml:space="preserve">any role of executive officers in recommending or determining amounts or forms of executive or director compensation; and </w:t>
            </w:r>
          </w:p>
          <w:p w:rsidRPr="00E47B30" w:rsidR="000459BE" w:rsidP="000459BE" w:rsidRDefault="000459BE" w14:paraId="6CF90EFA" w14:textId="0469235E">
            <w:pPr>
              <w:pStyle w:val="ListBullet"/>
            </w:pPr>
            <w:r w:rsidRPr="00E47B30">
              <w:t xml:space="preserve">any role of consultants in recommending or determining amounts or forms of executive or director compensation, including the identity of such consultants, whether engaged directly by the </w:t>
            </w:r>
            <w:r w:rsidRPr="00525E5A">
              <w:t>committee</w:t>
            </w:r>
            <w:r w:rsidRPr="00E47B30">
              <w:t xml:space="preserve"> or by any other person, a description of the nature and scope of their assignment and the material elements of their instructions or directions.</w:t>
            </w:r>
          </w:p>
        </w:tc>
        <w:tc>
          <w:tcPr>
            <w:tcW w:w="931" w:type="pct"/>
          </w:tcPr>
          <w:p w:rsidRPr="00212212" w:rsidR="000459BE" w:rsidP="000459BE" w:rsidRDefault="000459BE" w14:paraId="29C0769F" w14:textId="77777777">
            <w:pPr>
              <w:pStyle w:val="BodyText"/>
            </w:pPr>
          </w:p>
        </w:tc>
        <w:tc>
          <w:tcPr>
            <w:tcW w:w="561" w:type="pct"/>
          </w:tcPr>
          <w:p w:rsidRPr="00212212" w:rsidR="000459BE" w:rsidP="000459BE" w:rsidRDefault="000459BE" w14:paraId="57937785" w14:textId="77777777">
            <w:pPr>
              <w:pStyle w:val="BodyText"/>
              <w:contextualSpacing/>
              <w:rPr>
                <w:sz w:val="20"/>
                <w:u w:val="single"/>
              </w:rPr>
            </w:pPr>
          </w:p>
        </w:tc>
        <w:tc>
          <w:tcPr>
            <w:tcW w:w="344" w:type="pct"/>
            <w:vAlign w:val="center"/>
          </w:tcPr>
          <w:p w:rsidRPr="00E47B30" w:rsidR="000459BE" w:rsidP="000459BE" w:rsidRDefault="000459BE" w14:paraId="507E6F2A"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4F5D0747" w14:textId="1D7B89EF">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552F2A42" w14:textId="77777777">
        <w:trPr>
          <w:cantSplit/>
          <w:jc w:val="center"/>
        </w:trPr>
        <w:tc>
          <w:tcPr>
            <w:tcW w:w="690" w:type="pct"/>
            <w:shd w:val="clear" w:color="auto" w:fill="auto"/>
          </w:tcPr>
          <w:p w:rsidRPr="00212212" w:rsidR="000459BE" w:rsidP="000459BE" w:rsidRDefault="000459BE" w14:paraId="6D5A294C" w14:textId="3BCA628A">
            <w:pPr>
              <w:pStyle w:val="BodyText"/>
              <w:spacing w:after="120"/>
            </w:pPr>
            <w:r w:rsidRPr="00E47B30">
              <w:lastRenderedPageBreak/>
              <w:t>[Charter of Compensation Committee]</w:t>
            </w:r>
          </w:p>
        </w:tc>
        <w:tc>
          <w:tcPr>
            <w:tcW w:w="523" w:type="pct"/>
            <w:shd w:val="clear" w:color="auto" w:fill="auto"/>
          </w:tcPr>
          <w:p w:rsidRPr="00212212" w:rsidR="000459BE" w:rsidP="000459BE" w:rsidRDefault="000459BE" w14:paraId="36EF2752" w14:textId="65E81424">
            <w:pPr>
              <w:pStyle w:val="BodyText"/>
              <w:spacing w:after="120"/>
              <w:jc w:val="center"/>
            </w:pPr>
          </w:p>
        </w:tc>
        <w:tc>
          <w:tcPr>
            <w:tcW w:w="1951" w:type="pct"/>
            <w:shd w:val="clear" w:color="auto" w:fill="auto"/>
          </w:tcPr>
          <w:p w:rsidRPr="00DB7DDB" w:rsidR="000459BE" w:rsidP="000459BE" w:rsidRDefault="000459BE" w14:paraId="2A71302C" w14:textId="3C812CD5">
            <w:pPr>
              <w:pStyle w:val="BodyText"/>
              <w:spacing w:after="120"/>
            </w:pPr>
            <w:r w:rsidRPr="00E47B30">
              <w:t xml:space="preserve">Item </w:t>
            </w:r>
            <w:hyperlink w:history="1" w:anchor="p-229.407(e)(2)" r:id="rId68">
              <w:r w:rsidRPr="00E47B30">
                <w:rPr>
                  <w:rStyle w:val="Hyperlink"/>
                </w:rPr>
                <w:t>407(e)(2)</w:t>
              </w:r>
            </w:hyperlink>
            <w:r>
              <w:t xml:space="preserve"> and I</w:t>
            </w:r>
            <w:r w:rsidRPr="00E47B30">
              <w:t>nstruction 2 to Item 407</w:t>
            </w:r>
            <w:r>
              <w:t xml:space="preserve"> </w:t>
            </w:r>
            <w:r>
              <w:rPr>
                <w:iCs/>
                <w:szCs w:val="24"/>
              </w:rPr>
              <w:t>(Summary)</w:t>
            </w:r>
          </w:p>
          <w:p w:rsidRPr="00E47B30" w:rsidR="000459BE" w:rsidP="000459BE" w:rsidRDefault="000459BE" w14:paraId="1DECB3E2" w14:textId="2E44BAE1">
            <w:pPr>
              <w:pStyle w:val="BodyText"/>
              <w:rPr>
                <w:szCs w:val="24"/>
              </w:rPr>
            </w:pPr>
            <w:r w:rsidRPr="00E47B30">
              <w:rPr>
                <w:szCs w:val="24"/>
              </w:rPr>
              <w:t>Disclose whether a current copy of the compensation committee charter is available to security holders on the company</w:t>
            </w:r>
            <w:r>
              <w:rPr>
                <w:szCs w:val="24"/>
              </w:rPr>
              <w:t>’</w:t>
            </w:r>
            <w:r w:rsidRPr="00E47B30">
              <w:rPr>
                <w:szCs w:val="24"/>
              </w:rPr>
              <w:t>s website, and if so, provide the company</w:t>
            </w:r>
            <w:r>
              <w:rPr>
                <w:szCs w:val="24"/>
              </w:rPr>
              <w:t>’</w:t>
            </w:r>
            <w:r w:rsidRPr="00E47B30">
              <w:rPr>
                <w:szCs w:val="24"/>
              </w:rPr>
              <w:t xml:space="preserve">s website address. </w:t>
            </w:r>
          </w:p>
          <w:p w:rsidRPr="00E47B30" w:rsidR="000459BE" w:rsidP="000459BE" w:rsidRDefault="000459BE" w14:paraId="1CBDB773" w14:textId="18767E01">
            <w:pPr>
              <w:pStyle w:val="BodyText"/>
              <w:rPr>
                <w:szCs w:val="24"/>
              </w:rPr>
            </w:pPr>
            <w:r w:rsidRPr="00E47B30">
              <w:rPr>
                <w:szCs w:val="24"/>
              </w:rPr>
              <w:t>If a current copy of the charter is not available to security holders on the company</w:t>
            </w:r>
            <w:r>
              <w:rPr>
                <w:szCs w:val="24"/>
              </w:rPr>
              <w:t>’</w:t>
            </w:r>
            <w:r w:rsidRPr="00E47B30">
              <w:rPr>
                <w:szCs w:val="24"/>
              </w:rPr>
              <w:t>s website, include a copy of the charter in an appendix to the company</w:t>
            </w:r>
            <w:r>
              <w:rPr>
                <w:szCs w:val="24"/>
              </w:rPr>
              <w:t>’</w:t>
            </w:r>
            <w:r w:rsidRPr="00E47B30">
              <w:rPr>
                <w:szCs w:val="24"/>
              </w:rPr>
              <w:t xml:space="preserve">s proxy or information statement that is provided to security holders at least once every three fiscal years, or if the charter has been materially amended since the beginning of the </w:t>
            </w:r>
            <w:r>
              <w:rPr>
                <w:szCs w:val="24"/>
              </w:rPr>
              <w:t>company’</w:t>
            </w:r>
            <w:r w:rsidRPr="00E47B30">
              <w:rPr>
                <w:szCs w:val="24"/>
              </w:rPr>
              <w:t>s last fiscal year.</w:t>
            </w:r>
          </w:p>
          <w:p w:rsidRPr="00E47B30" w:rsidR="000459BE" w:rsidP="000459BE" w:rsidRDefault="000459BE" w14:paraId="0FC43F0C" w14:textId="32F8E64E">
            <w:pPr>
              <w:pStyle w:val="BodyText"/>
              <w:spacing w:after="120"/>
            </w:pPr>
            <w:r w:rsidRPr="00E47B30">
              <w:rPr>
                <w:szCs w:val="24"/>
              </w:rPr>
              <w:t>If a current copy of the charter is not available to security holders on the company</w:t>
            </w:r>
            <w:r>
              <w:rPr>
                <w:szCs w:val="24"/>
              </w:rPr>
              <w:t>’</w:t>
            </w:r>
            <w:r w:rsidRPr="00E47B30">
              <w:rPr>
                <w:szCs w:val="24"/>
              </w:rPr>
              <w:t>s website and is not included as an appendix to the company</w:t>
            </w:r>
            <w:r>
              <w:rPr>
                <w:szCs w:val="24"/>
              </w:rPr>
              <w:t>’</w:t>
            </w:r>
            <w:r w:rsidRPr="00E47B30">
              <w:rPr>
                <w:szCs w:val="24"/>
              </w:rPr>
              <w:t>s proxy or information statement, identify in which of the prior fiscal years the charter was so included in satisfaction of this requirement.</w:t>
            </w:r>
          </w:p>
        </w:tc>
        <w:tc>
          <w:tcPr>
            <w:tcW w:w="931" w:type="pct"/>
          </w:tcPr>
          <w:p w:rsidRPr="00212212" w:rsidR="000459BE" w:rsidP="000459BE" w:rsidRDefault="000459BE" w14:paraId="76B3630F" w14:textId="374E44EC">
            <w:pPr>
              <w:pStyle w:val="BodyText"/>
            </w:pPr>
            <w:r>
              <w:t>Note that most companies comply with this requirement by posting the charter on their website.</w:t>
            </w:r>
          </w:p>
        </w:tc>
        <w:tc>
          <w:tcPr>
            <w:tcW w:w="561" w:type="pct"/>
          </w:tcPr>
          <w:p w:rsidRPr="00212212" w:rsidR="000459BE" w:rsidP="000459BE" w:rsidRDefault="000459BE" w14:paraId="5AEC1D06" w14:textId="77777777">
            <w:pPr>
              <w:pStyle w:val="BodyText"/>
              <w:contextualSpacing/>
              <w:rPr>
                <w:sz w:val="20"/>
                <w:u w:val="single"/>
              </w:rPr>
            </w:pPr>
          </w:p>
        </w:tc>
        <w:tc>
          <w:tcPr>
            <w:tcW w:w="344" w:type="pct"/>
            <w:vAlign w:val="center"/>
          </w:tcPr>
          <w:p w:rsidRPr="00E47B30" w:rsidR="000459BE" w:rsidP="000459BE" w:rsidRDefault="000459BE" w14:paraId="14150808"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2F2262A5" w14:textId="05E1EA09">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46B664DF" w14:textId="77777777">
        <w:trPr>
          <w:cantSplit/>
          <w:jc w:val="center"/>
        </w:trPr>
        <w:tc>
          <w:tcPr>
            <w:tcW w:w="690" w:type="pct"/>
            <w:shd w:val="clear" w:color="auto" w:fill="auto"/>
          </w:tcPr>
          <w:p w:rsidRPr="00212212" w:rsidR="000459BE" w:rsidP="000459BE" w:rsidRDefault="000459BE" w14:paraId="0A0EE794" w14:textId="1621848B">
            <w:pPr>
              <w:pStyle w:val="BodyText"/>
              <w:spacing w:after="120"/>
            </w:pPr>
            <w:r w:rsidRPr="00E47B30">
              <w:rPr>
                <w:iCs/>
              </w:rPr>
              <w:t>[Compensation Committee Consultant Fees]</w:t>
            </w:r>
          </w:p>
        </w:tc>
        <w:tc>
          <w:tcPr>
            <w:tcW w:w="523" w:type="pct"/>
            <w:shd w:val="clear" w:color="auto" w:fill="auto"/>
          </w:tcPr>
          <w:p w:rsidRPr="00212212" w:rsidR="000459BE" w:rsidP="000459BE" w:rsidRDefault="000459BE" w14:paraId="78D6DE72" w14:textId="343041DD">
            <w:pPr>
              <w:pStyle w:val="BodyText"/>
              <w:spacing w:after="120"/>
              <w:jc w:val="center"/>
            </w:pPr>
          </w:p>
        </w:tc>
        <w:tc>
          <w:tcPr>
            <w:tcW w:w="1951" w:type="pct"/>
            <w:shd w:val="clear" w:color="auto" w:fill="auto"/>
          </w:tcPr>
          <w:p w:rsidR="000459BE" w:rsidP="000459BE" w:rsidRDefault="000459BE" w14:paraId="044BF01E" w14:textId="646C75B4">
            <w:pPr>
              <w:autoSpaceDE w:val="0"/>
              <w:autoSpaceDN w:val="0"/>
              <w:adjustRightInd w:val="0"/>
              <w:spacing w:after="240"/>
              <w:rPr>
                <w:iCs/>
                <w:szCs w:val="24"/>
              </w:rPr>
            </w:pPr>
            <w:r>
              <w:rPr>
                <w:iCs/>
                <w:szCs w:val="24"/>
              </w:rPr>
              <w:t xml:space="preserve">Item </w:t>
            </w:r>
            <w:hyperlink w:history="1" w:anchor="p-229.407(e)(3)(iii)" r:id="rId69">
              <w:r w:rsidRPr="00E47B30">
                <w:rPr>
                  <w:rStyle w:val="Hyperlink"/>
                </w:rPr>
                <w:t>407(e)(3)(iii)</w:t>
              </w:r>
            </w:hyperlink>
            <w:r>
              <w:rPr>
                <w:iCs/>
                <w:szCs w:val="24"/>
              </w:rPr>
              <w:t xml:space="preserve"> (Summary)</w:t>
            </w:r>
          </w:p>
          <w:p w:rsidRPr="00E47B30" w:rsidR="000459BE" w:rsidP="000459BE" w:rsidRDefault="000459BE" w14:paraId="6620B8C4" w14:textId="02CDA9DF">
            <w:pPr>
              <w:pStyle w:val="BodyText"/>
              <w:spacing w:after="120"/>
            </w:pPr>
            <w:r w:rsidRPr="00E47B30">
              <w:t>SEC rules require disclosure about fees paid to compensation consultants under certain circumstances.</w:t>
            </w:r>
          </w:p>
        </w:tc>
        <w:tc>
          <w:tcPr>
            <w:tcW w:w="931" w:type="pct"/>
          </w:tcPr>
          <w:p w:rsidRPr="00212212" w:rsidR="000459BE" w:rsidP="000459BE" w:rsidRDefault="000459BE" w14:paraId="105D3310" w14:textId="77777777">
            <w:pPr>
              <w:pStyle w:val="BodyText"/>
            </w:pPr>
          </w:p>
        </w:tc>
        <w:tc>
          <w:tcPr>
            <w:tcW w:w="561" w:type="pct"/>
          </w:tcPr>
          <w:p w:rsidRPr="00212212" w:rsidR="000459BE" w:rsidP="000459BE" w:rsidRDefault="000459BE" w14:paraId="627CA9F4" w14:textId="77777777">
            <w:pPr>
              <w:pStyle w:val="BodyText"/>
              <w:contextualSpacing/>
              <w:rPr>
                <w:sz w:val="20"/>
                <w:u w:val="single"/>
              </w:rPr>
            </w:pPr>
          </w:p>
        </w:tc>
        <w:tc>
          <w:tcPr>
            <w:tcW w:w="344" w:type="pct"/>
            <w:vAlign w:val="center"/>
          </w:tcPr>
          <w:p w:rsidRPr="00E47B30" w:rsidR="000459BE" w:rsidP="000459BE" w:rsidRDefault="000459BE" w14:paraId="26FA8536"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6390D7DF" w14:textId="73D5411B">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35146A3A" w14:textId="77777777">
        <w:trPr>
          <w:cantSplit/>
          <w:jc w:val="center"/>
        </w:trPr>
        <w:tc>
          <w:tcPr>
            <w:tcW w:w="690" w:type="pct"/>
            <w:shd w:val="clear" w:color="auto" w:fill="FFFFFF"/>
          </w:tcPr>
          <w:p w:rsidRPr="00212212" w:rsidR="000459BE" w:rsidP="000459BE" w:rsidRDefault="000459BE" w14:paraId="6A949222" w14:textId="64FAEBD5">
            <w:pPr>
              <w:pStyle w:val="BodyText"/>
              <w:spacing w:after="120"/>
            </w:pPr>
            <w:r w:rsidRPr="00E47B30">
              <w:rPr>
                <w:iCs/>
              </w:rPr>
              <w:lastRenderedPageBreak/>
              <w:t>[Compensation Committee Consultant Conflicts of Interest]</w:t>
            </w:r>
          </w:p>
        </w:tc>
        <w:tc>
          <w:tcPr>
            <w:tcW w:w="523" w:type="pct"/>
            <w:shd w:val="clear" w:color="auto" w:fill="FFFFFF"/>
          </w:tcPr>
          <w:p w:rsidRPr="00212212" w:rsidR="000459BE" w:rsidP="000459BE" w:rsidRDefault="000459BE" w14:paraId="60B7210E" w14:textId="48A94000">
            <w:pPr>
              <w:pStyle w:val="BodyText"/>
              <w:spacing w:after="120"/>
              <w:jc w:val="center"/>
            </w:pPr>
          </w:p>
        </w:tc>
        <w:tc>
          <w:tcPr>
            <w:tcW w:w="1951" w:type="pct"/>
            <w:shd w:val="clear" w:color="auto" w:fill="FFFFFF"/>
          </w:tcPr>
          <w:p w:rsidR="000459BE" w:rsidP="000459BE" w:rsidRDefault="000459BE" w14:paraId="7CEC362C" w14:textId="16D82E4D">
            <w:pPr>
              <w:autoSpaceDE w:val="0"/>
              <w:autoSpaceDN w:val="0"/>
              <w:adjustRightInd w:val="0"/>
              <w:spacing w:after="240"/>
              <w:rPr>
                <w:iCs/>
                <w:szCs w:val="24"/>
              </w:rPr>
            </w:pPr>
            <w:r w:rsidRPr="00E47B30">
              <w:t xml:space="preserve">Item </w:t>
            </w:r>
            <w:hyperlink w:history="1" w:anchor="p-229.407(e)(3)(iv)" r:id="rId70">
              <w:r w:rsidRPr="00E47B30">
                <w:rPr>
                  <w:rStyle w:val="Hyperlink"/>
                </w:rPr>
                <w:t>407(e)(3)(iv)</w:t>
              </w:r>
            </w:hyperlink>
            <w:r>
              <w:rPr>
                <w:iCs/>
                <w:szCs w:val="24"/>
              </w:rPr>
              <w:t xml:space="preserve"> (Summary)</w:t>
            </w:r>
          </w:p>
          <w:p w:rsidRPr="00E47B30" w:rsidR="000459BE" w:rsidP="000459BE" w:rsidRDefault="000459BE" w14:paraId="761C4990" w14:textId="77777777">
            <w:pPr>
              <w:pStyle w:val="BodyText"/>
            </w:pPr>
            <w:r w:rsidRPr="00E47B30">
              <w:t>With respect to any compensation consultant identified pursuant to Item 407(e)(3)(iii), companies must disclose the nature of any conflicts of interest raised by the work of the consultant and how the conflict is being addressed.</w:t>
            </w:r>
          </w:p>
          <w:p w:rsidR="000459BE" w:rsidP="000459BE" w:rsidRDefault="000459BE" w14:paraId="363F067C" w14:textId="35D75BCB">
            <w:pPr>
              <w:pStyle w:val="ListBullet"/>
            </w:pPr>
            <w:r w:rsidRPr="00E47B30">
              <w:t xml:space="preserve">No required disclosure of </w:t>
            </w:r>
            <w:r w:rsidRPr="00E47B30">
              <w:rPr>
                <w:i/>
              </w:rPr>
              <w:t>potential</w:t>
            </w:r>
            <w:r w:rsidRPr="00E47B30">
              <w:t xml:space="preserve"> conflicts of interest or the </w:t>
            </w:r>
            <w:r w:rsidRPr="00E47B30">
              <w:rPr>
                <w:i/>
              </w:rPr>
              <w:t>appearance</w:t>
            </w:r>
            <w:r w:rsidRPr="00E47B30">
              <w:t xml:space="preserve"> of a conflict of interest</w:t>
            </w:r>
            <w:r>
              <w:t>.</w:t>
            </w:r>
          </w:p>
          <w:p w:rsidR="000459BE" w:rsidP="000459BE" w:rsidRDefault="000459BE" w14:paraId="3E344159" w14:textId="77777777">
            <w:pPr>
              <w:pStyle w:val="ListBullet"/>
            </w:pPr>
            <w:r w:rsidRPr="00E47B30">
              <w:t>No required disclosure with respect to advisers other than compensation consultants</w:t>
            </w:r>
            <w:r>
              <w:t>.</w:t>
            </w:r>
          </w:p>
          <w:p w:rsidRPr="00E47B30" w:rsidR="000459BE" w:rsidP="000459BE" w:rsidRDefault="000459BE" w14:paraId="6C7BF5D8" w14:textId="079A1C17">
            <w:pPr>
              <w:pStyle w:val="ListBullet"/>
            </w:pPr>
            <w:r w:rsidRPr="00E47B30">
              <w:t>Applies to all compensation consultants who had a role in determining or recommending the amount or form of executive and/or director compensation</w:t>
            </w:r>
            <w:r>
              <w:t>.</w:t>
            </w:r>
          </w:p>
        </w:tc>
        <w:tc>
          <w:tcPr>
            <w:tcW w:w="931" w:type="pct"/>
            <w:shd w:val="clear" w:color="auto" w:fill="FFFFFF"/>
          </w:tcPr>
          <w:p w:rsidRPr="00212212" w:rsidR="000459BE" w:rsidP="000459BE" w:rsidRDefault="000459BE" w14:paraId="6A933E8D" w14:textId="77777777">
            <w:pPr>
              <w:pStyle w:val="BodyText"/>
            </w:pPr>
          </w:p>
        </w:tc>
        <w:tc>
          <w:tcPr>
            <w:tcW w:w="561" w:type="pct"/>
            <w:shd w:val="clear" w:color="auto" w:fill="FFFFFF"/>
          </w:tcPr>
          <w:p w:rsidRPr="00212212" w:rsidR="000459BE" w:rsidP="000459BE" w:rsidRDefault="000459BE" w14:paraId="2DD39465" w14:textId="77777777">
            <w:pPr>
              <w:pStyle w:val="BodyText"/>
              <w:contextualSpacing/>
              <w:rPr>
                <w:sz w:val="20"/>
                <w:u w:val="single"/>
              </w:rPr>
            </w:pPr>
          </w:p>
        </w:tc>
        <w:tc>
          <w:tcPr>
            <w:tcW w:w="344" w:type="pct"/>
            <w:shd w:val="clear" w:color="auto" w:fill="FFFFFF"/>
            <w:vAlign w:val="center"/>
          </w:tcPr>
          <w:p w:rsidRPr="00E47B30" w:rsidR="000459BE" w:rsidP="000459BE" w:rsidRDefault="000459BE" w14:paraId="11B2B192"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28F0B31F" w14:textId="0F52DFF2">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AC030F" w:rsidTr="00E708F1" w14:paraId="549DAB5D" w14:textId="77777777">
        <w:trPr>
          <w:cantSplit/>
          <w:jc w:val="center"/>
        </w:trPr>
        <w:tc>
          <w:tcPr>
            <w:tcW w:w="690" w:type="pct"/>
            <w:shd w:val="clear" w:color="auto" w:fill="FFFFFF"/>
          </w:tcPr>
          <w:p w:rsidRPr="00E47B30" w:rsidR="00AC030F" w:rsidP="000459BE" w:rsidRDefault="00AC030F" w14:paraId="51769ACA" w14:textId="77777777">
            <w:pPr>
              <w:pStyle w:val="BodyText"/>
              <w:spacing w:after="120"/>
              <w:rPr>
                <w:iCs/>
              </w:rPr>
            </w:pPr>
          </w:p>
        </w:tc>
        <w:tc>
          <w:tcPr>
            <w:tcW w:w="523" w:type="pct"/>
            <w:shd w:val="clear" w:color="auto" w:fill="FFFFFF"/>
          </w:tcPr>
          <w:p w:rsidRPr="00212212" w:rsidR="00AC030F" w:rsidP="000459BE" w:rsidRDefault="00AC030F" w14:paraId="4E1D1737" w14:textId="77777777">
            <w:pPr>
              <w:pStyle w:val="BodyText"/>
              <w:spacing w:after="120"/>
              <w:jc w:val="center"/>
            </w:pPr>
          </w:p>
        </w:tc>
        <w:tc>
          <w:tcPr>
            <w:tcW w:w="1951" w:type="pct"/>
            <w:shd w:val="clear" w:color="auto" w:fill="FFFFFF"/>
          </w:tcPr>
          <w:p w:rsidRPr="00E47B30" w:rsidR="00AC030F" w:rsidP="000459BE" w:rsidRDefault="00AC030F" w14:paraId="4D107F08" w14:textId="7BFF4A21">
            <w:pPr>
              <w:autoSpaceDE w:val="0"/>
              <w:autoSpaceDN w:val="0"/>
              <w:adjustRightInd w:val="0"/>
              <w:spacing w:after="240"/>
            </w:pPr>
            <w:r>
              <w:t>Items 407(d)(4) [compensation committee interlocks and insider participation] and (d)(5) [compensation committee report] are required by Item 8 of the proxy statement.</w:t>
            </w:r>
          </w:p>
        </w:tc>
        <w:tc>
          <w:tcPr>
            <w:tcW w:w="931" w:type="pct"/>
            <w:shd w:val="clear" w:color="auto" w:fill="FFFFFF"/>
          </w:tcPr>
          <w:p w:rsidRPr="00212212" w:rsidR="00AC030F" w:rsidP="000459BE" w:rsidRDefault="00AC030F" w14:paraId="0CE63EE2" w14:textId="77777777">
            <w:pPr>
              <w:pStyle w:val="BodyText"/>
            </w:pPr>
          </w:p>
        </w:tc>
        <w:tc>
          <w:tcPr>
            <w:tcW w:w="561" w:type="pct"/>
            <w:shd w:val="clear" w:color="auto" w:fill="FFFFFF"/>
          </w:tcPr>
          <w:p w:rsidRPr="00212212" w:rsidR="00AC030F" w:rsidP="000459BE" w:rsidRDefault="00AC030F" w14:paraId="780729EE" w14:textId="77777777">
            <w:pPr>
              <w:pStyle w:val="BodyText"/>
              <w:contextualSpacing/>
              <w:rPr>
                <w:sz w:val="20"/>
                <w:u w:val="single"/>
              </w:rPr>
            </w:pPr>
          </w:p>
        </w:tc>
        <w:tc>
          <w:tcPr>
            <w:tcW w:w="344" w:type="pct"/>
            <w:shd w:val="clear" w:color="auto" w:fill="FFFFFF"/>
            <w:vAlign w:val="center"/>
          </w:tcPr>
          <w:p w:rsidRPr="00E47B30" w:rsidR="00AC030F" w:rsidP="000459BE" w:rsidRDefault="00AC030F" w14:paraId="45E09AC1" w14:textId="77777777">
            <w:pPr>
              <w:spacing w:after="0"/>
              <w:jc w:val="center"/>
              <w:rPr>
                <w:szCs w:val="22"/>
              </w:rPr>
            </w:pPr>
          </w:p>
        </w:tc>
      </w:tr>
      <w:tr w:rsidRPr="00E47B30" w:rsidR="000459BE" w:rsidTr="00E708F1" w14:paraId="0A7A908B" w14:textId="77777777">
        <w:trPr>
          <w:cantSplit/>
          <w:jc w:val="center"/>
        </w:trPr>
        <w:tc>
          <w:tcPr>
            <w:tcW w:w="690" w:type="pct"/>
            <w:shd w:val="clear" w:color="auto" w:fill="auto"/>
          </w:tcPr>
          <w:p w:rsidRPr="00212212" w:rsidR="000459BE" w:rsidP="000459BE" w:rsidRDefault="000459BE" w14:paraId="382713B7" w14:textId="50EEE201">
            <w:pPr>
              <w:pStyle w:val="BodyText"/>
              <w:spacing w:after="120"/>
            </w:pPr>
            <w:r w:rsidRPr="00E47B30">
              <w:rPr>
                <w:szCs w:val="24"/>
              </w:rPr>
              <w:lastRenderedPageBreak/>
              <w:t>[Shareholder Communications]</w:t>
            </w:r>
          </w:p>
        </w:tc>
        <w:tc>
          <w:tcPr>
            <w:tcW w:w="523" w:type="pct"/>
            <w:shd w:val="clear" w:color="auto" w:fill="auto"/>
          </w:tcPr>
          <w:p w:rsidRPr="00212212" w:rsidR="000459BE" w:rsidP="000459BE" w:rsidRDefault="000459BE" w14:paraId="4E2C3843" w14:textId="5A11C92A">
            <w:pPr>
              <w:pStyle w:val="BodyText"/>
              <w:spacing w:after="120"/>
              <w:jc w:val="center"/>
            </w:pPr>
          </w:p>
        </w:tc>
        <w:tc>
          <w:tcPr>
            <w:tcW w:w="1951" w:type="pct"/>
            <w:shd w:val="clear" w:color="auto" w:fill="auto"/>
          </w:tcPr>
          <w:p w:rsidR="000459BE" w:rsidP="000459BE" w:rsidRDefault="000459BE" w14:paraId="1EF98B76" w14:textId="1B0999CC">
            <w:pPr>
              <w:autoSpaceDE w:val="0"/>
              <w:autoSpaceDN w:val="0"/>
              <w:adjustRightInd w:val="0"/>
              <w:spacing w:after="240"/>
              <w:rPr>
                <w:iCs/>
                <w:szCs w:val="24"/>
              </w:rPr>
            </w:pPr>
            <w:r w:rsidRPr="00E47B30">
              <w:t xml:space="preserve">Item </w:t>
            </w:r>
            <w:hyperlink w:history="1" w:anchor="p-229.407(f)" r:id="rId71">
              <w:r w:rsidRPr="00E47B30">
                <w:rPr>
                  <w:rStyle w:val="Hyperlink"/>
                </w:rPr>
                <w:t>407(f)</w:t>
              </w:r>
            </w:hyperlink>
            <w:r>
              <w:rPr>
                <w:iCs/>
                <w:szCs w:val="24"/>
              </w:rPr>
              <w:t xml:space="preserve"> (Summary)</w:t>
            </w:r>
          </w:p>
          <w:p w:rsidRPr="00E47B30" w:rsidR="000459BE" w:rsidP="000459BE" w:rsidRDefault="000459BE" w14:paraId="4308DCB7" w14:textId="77777777">
            <w:pPr>
              <w:autoSpaceDE w:val="0"/>
              <w:autoSpaceDN w:val="0"/>
              <w:adjustRightInd w:val="0"/>
              <w:spacing w:after="240"/>
              <w:rPr>
                <w:szCs w:val="24"/>
              </w:rPr>
            </w:pPr>
            <w:r>
              <w:rPr>
                <w:szCs w:val="24"/>
              </w:rPr>
              <w:t>The proxy statement</w:t>
            </w:r>
            <w:r w:rsidRPr="00E47B30">
              <w:rPr>
                <w:szCs w:val="24"/>
              </w:rPr>
              <w:t xml:space="preserve"> must disclose:</w:t>
            </w:r>
          </w:p>
          <w:p w:rsidRPr="00E47B30" w:rsidR="000459BE" w:rsidP="000459BE" w:rsidRDefault="000459BE" w14:paraId="46082F2C" w14:textId="74C63548">
            <w:pPr>
              <w:pStyle w:val="ListBullet"/>
            </w:pPr>
            <w:r w:rsidRPr="00E47B30">
              <w:t>whether the company</w:t>
            </w:r>
            <w:r>
              <w:t>’</w:t>
            </w:r>
            <w:r w:rsidRPr="00E47B30">
              <w:t>s Board of Directors has established a process for security holders to send communications to the Board of Directors, and if not, the basis for not having such a process; and</w:t>
            </w:r>
          </w:p>
          <w:p w:rsidR="000459BE" w:rsidP="000459BE" w:rsidRDefault="000459BE" w14:paraId="2D2E211F" w14:textId="081A3597">
            <w:pPr>
              <w:pStyle w:val="ListBullet"/>
            </w:pPr>
            <w:r w:rsidRPr="00E47B30">
              <w:t>the process for security holder communications to the board, if there is such a process, including the manner in which security holders can send such communications to board members and, if such communications are not sent directly to board members, a description of the company</w:t>
            </w:r>
            <w:r>
              <w:t>’</w:t>
            </w:r>
            <w:r w:rsidRPr="00E47B30">
              <w:t>s process for determining which communications will be transmitted to board members.</w:t>
            </w:r>
          </w:p>
          <w:p w:rsidR="000459BE" w:rsidP="000459BE" w:rsidRDefault="000459BE" w14:paraId="1D01F955" w14:textId="77777777">
            <w:pPr>
              <w:autoSpaceDE w:val="0"/>
              <w:autoSpaceDN w:val="0"/>
              <w:adjustRightInd w:val="0"/>
              <w:spacing w:after="240"/>
            </w:pPr>
            <w:r>
              <w:t>An instruction to Item 407 provides that:</w:t>
            </w:r>
          </w:p>
          <w:p w:rsidR="000459BE" w:rsidP="000459BE" w:rsidRDefault="000459BE" w14:paraId="6FC6E86D" w14:textId="75CB332B">
            <w:pPr>
              <w:pStyle w:val="ListBullet"/>
            </w:pPr>
            <w:r>
              <w:t xml:space="preserve">the process for security holder communications may be provided on a company’s website in lieu of providing the information in the proxy statement, if the company provides the website address; and </w:t>
            </w:r>
          </w:p>
          <w:p w:rsidRPr="00E47B30" w:rsidR="000459BE" w:rsidP="000459BE" w:rsidRDefault="000459BE" w14:paraId="11773896" w14:textId="3CCF806E">
            <w:pPr>
              <w:pStyle w:val="ListBullet"/>
            </w:pPr>
            <w:r>
              <w:t>the process for collecting and organizing security holder communications need not be disclosed if a majority of the independent directors has approved the process</w:t>
            </w:r>
          </w:p>
        </w:tc>
        <w:tc>
          <w:tcPr>
            <w:tcW w:w="931" w:type="pct"/>
          </w:tcPr>
          <w:p w:rsidRPr="00212212" w:rsidR="000459BE" w:rsidP="000459BE" w:rsidRDefault="000459BE" w14:paraId="25C28898" w14:textId="64C210B9">
            <w:pPr>
              <w:pStyle w:val="ListBullet"/>
              <w:numPr>
                <w:ilvl w:val="0"/>
                <w:numId w:val="0"/>
              </w:numPr>
              <w:ind w:left="90"/>
            </w:pPr>
          </w:p>
        </w:tc>
        <w:tc>
          <w:tcPr>
            <w:tcW w:w="561" w:type="pct"/>
          </w:tcPr>
          <w:p w:rsidRPr="00212212" w:rsidR="000459BE" w:rsidP="000459BE" w:rsidRDefault="000459BE" w14:paraId="32FEE83E" w14:textId="77777777">
            <w:pPr>
              <w:pStyle w:val="BodyText"/>
              <w:contextualSpacing/>
              <w:rPr>
                <w:sz w:val="20"/>
                <w:u w:val="single"/>
              </w:rPr>
            </w:pPr>
          </w:p>
        </w:tc>
        <w:tc>
          <w:tcPr>
            <w:tcW w:w="344" w:type="pct"/>
            <w:vAlign w:val="center"/>
          </w:tcPr>
          <w:p w:rsidRPr="00E47B30" w:rsidR="000459BE" w:rsidP="000459BE" w:rsidRDefault="000459BE" w14:paraId="5CE18897"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78204EC3" w14:textId="5341DF8C">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75AD8991" w14:textId="77777777">
        <w:trPr>
          <w:cantSplit/>
          <w:jc w:val="center"/>
        </w:trPr>
        <w:tc>
          <w:tcPr>
            <w:tcW w:w="690" w:type="pct"/>
            <w:shd w:val="clear" w:color="auto" w:fill="auto"/>
          </w:tcPr>
          <w:p w:rsidRPr="00212212" w:rsidR="000459BE" w:rsidP="000459BE" w:rsidRDefault="000459BE" w14:paraId="28F370CC" w14:textId="7FB4EB09">
            <w:pPr>
              <w:pStyle w:val="BodyText"/>
              <w:spacing w:after="120"/>
            </w:pPr>
          </w:p>
        </w:tc>
        <w:tc>
          <w:tcPr>
            <w:tcW w:w="523" w:type="pct"/>
            <w:shd w:val="clear" w:color="auto" w:fill="auto"/>
          </w:tcPr>
          <w:p w:rsidRPr="00212212" w:rsidR="000459BE" w:rsidP="000459BE" w:rsidRDefault="000459BE" w14:paraId="1E3B0D1D" w14:textId="5AA9BE8A">
            <w:pPr>
              <w:pStyle w:val="BodyText"/>
              <w:spacing w:after="120"/>
              <w:jc w:val="center"/>
            </w:pPr>
          </w:p>
        </w:tc>
        <w:tc>
          <w:tcPr>
            <w:tcW w:w="1951" w:type="pct"/>
            <w:shd w:val="clear" w:color="auto" w:fill="auto"/>
          </w:tcPr>
          <w:p w:rsidR="000459BE" w:rsidP="000459BE" w:rsidRDefault="000459BE" w14:paraId="3AF1D67E" w14:textId="3817F465">
            <w:pPr>
              <w:autoSpaceDE w:val="0"/>
              <w:autoSpaceDN w:val="0"/>
              <w:adjustRightInd w:val="0"/>
              <w:spacing w:after="240"/>
              <w:rPr>
                <w:iCs/>
                <w:szCs w:val="24"/>
              </w:rPr>
            </w:pPr>
            <w:r w:rsidRPr="00E47B30">
              <w:t xml:space="preserve">Item </w:t>
            </w:r>
            <w:hyperlink w:history="1" w:anchor="p-229.407(h)" r:id="rId72">
              <w:r w:rsidRPr="00E47B30">
                <w:rPr>
                  <w:rStyle w:val="Hyperlink"/>
                </w:rPr>
                <w:t>407(h)</w:t>
              </w:r>
            </w:hyperlink>
            <w:r>
              <w:rPr>
                <w:iCs/>
                <w:szCs w:val="24"/>
              </w:rPr>
              <w:t xml:space="preserve"> (Summary)</w:t>
            </w:r>
          </w:p>
          <w:p w:rsidRPr="00E47B30" w:rsidR="000459BE" w:rsidP="000459BE" w:rsidRDefault="000459BE" w14:paraId="5A72E48E" w14:textId="62348866">
            <w:pPr>
              <w:pStyle w:val="BodyText"/>
              <w:spacing w:after="120"/>
            </w:pPr>
            <w:r w:rsidRPr="00E47B30">
              <w:t>SEC rules require disclosure about the leadership structure of the company</w:t>
            </w:r>
            <w:r>
              <w:t>’</w:t>
            </w:r>
            <w:r w:rsidRPr="00E47B30">
              <w:t>s board of directors and its role in risk oversight.</w:t>
            </w:r>
          </w:p>
        </w:tc>
        <w:tc>
          <w:tcPr>
            <w:tcW w:w="931" w:type="pct"/>
          </w:tcPr>
          <w:p w:rsidRPr="00212212" w:rsidR="000459BE" w:rsidP="000459BE" w:rsidRDefault="000459BE" w14:paraId="04B6FF52" w14:textId="77777777">
            <w:pPr>
              <w:pStyle w:val="BodyText"/>
            </w:pPr>
          </w:p>
        </w:tc>
        <w:tc>
          <w:tcPr>
            <w:tcW w:w="561" w:type="pct"/>
          </w:tcPr>
          <w:p w:rsidRPr="00212212" w:rsidR="000459BE" w:rsidP="000459BE" w:rsidRDefault="000459BE" w14:paraId="7B6D9732" w14:textId="77777777">
            <w:pPr>
              <w:pStyle w:val="BodyText"/>
              <w:contextualSpacing/>
              <w:rPr>
                <w:sz w:val="20"/>
                <w:u w:val="single"/>
              </w:rPr>
            </w:pPr>
          </w:p>
        </w:tc>
        <w:tc>
          <w:tcPr>
            <w:tcW w:w="344" w:type="pct"/>
            <w:vAlign w:val="center"/>
          </w:tcPr>
          <w:p w:rsidRPr="00E47B30" w:rsidR="000459BE" w:rsidP="000459BE" w:rsidRDefault="000459BE" w14:paraId="6430AA85"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364E5206" w14:textId="3A0A91B9">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807B13" w:rsidTr="00E708F1" w14:paraId="61E1CECC" w14:textId="77777777">
        <w:trPr>
          <w:cantSplit/>
          <w:jc w:val="center"/>
        </w:trPr>
        <w:tc>
          <w:tcPr>
            <w:tcW w:w="690" w:type="pct"/>
            <w:shd w:val="clear" w:color="auto" w:fill="auto"/>
          </w:tcPr>
          <w:p w:rsidRPr="00212212" w:rsidR="00807B13" w:rsidP="000459BE" w:rsidRDefault="00807B13" w14:paraId="72E2BCAB" w14:textId="77777777">
            <w:pPr>
              <w:pStyle w:val="BodyText"/>
              <w:spacing w:after="120"/>
            </w:pPr>
          </w:p>
        </w:tc>
        <w:tc>
          <w:tcPr>
            <w:tcW w:w="523" w:type="pct"/>
            <w:shd w:val="clear" w:color="auto" w:fill="auto"/>
          </w:tcPr>
          <w:p w:rsidRPr="00212212" w:rsidR="00807B13" w:rsidP="000459BE" w:rsidRDefault="00807B13" w14:paraId="7F6CD1A5" w14:textId="77777777">
            <w:pPr>
              <w:pStyle w:val="BodyText"/>
              <w:spacing w:after="120"/>
              <w:jc w:val="center"/>
            </w:pPr>
          </w:p>
        </w:tc>
        <w:tc>
          <w:tcPr>
            <w:tcW w:w="1951" w:type="pct"/>
            <w:shd w:val="clear" w:color="auto" w:fill="auto"/>
          </w:tcPr>
          <w:p w:rsidRPr="00807B13" w:rsidR="00807B13" w:rsidP="000459BE" w:rsidRDefault="00807B13" w14:paraId="0CB3ABF1" w14:textId="17E8ECD6">
            <w:pPr>
              <w:autoSpaceDE w:val="0"/>
              <w:autoSpaceDN w:val="0"/>
              <w:adjustRightInd w:val="0"/>
              <w:spacing w:after="240"/>
            </w:pPr>
            <w:r>
              <w:rPr>
                <w:b/>
                <w:bCs/>
              </w:rPr>
              <w:t>Other/Optional Corporate Governance Disclosure</w:t>
            </w:r>
          </w:p>
        </w:tc>
        <w:tc>
          <w:tcPr>
            <w:tcW w:w="931" w:type="pct"/>
          </w:tcPr>
          <w:p w:rsidRPr="00212212" w:rsidR="00807B13" w:rsidP="000459BE" w:rsidRDefault="00807B13" w14:paraId="63D7FFE9" w14:textId="77777777">
            <w:pPr>
              <w:pStyle w:val="BodyText"/>
            </w:pPr>
          </w:p>
        </w:tc>
        <w:tc>
          <w:tcPr>
            <w:tcW w:w="561" w:type="pct"/>
          </w:tcPr>
          <w:p w:rsidRPr="00212212" w:rsidR="00807B13" w:rsidP="000459BE" w:rsidRDefault="00807B13" w14:paraId="708172CC" w14:textId="77777777">
            <w:pPr>
              <w:pStyle w:val="BodyText"/>
              <w:contextualSpacing/>
              <w:rPr>
                <w:sz w:val="20"/>
                <w:u w:val="single"/>
              </w:rPr>
            </w:pPr>
          </w:p>
        </w:tc>
        <w:tc>
          <w:tcPr>
            <w:tcW w:w="344" w:type="pct"/>
            <w:vAlign w:val="center"/>
          </w:tcPr>
          <w:p w:rsidRPr="00E47B30" w:rsidR="00807B13" w:rsidP="000459BE" w:rsidRDefault="00807B13" w14:paraId="311DDE31" w14:textId="77777777">
            <w:pPr>
              <w:spacing w:after="0"/>
              <w:jc w:val="center"/>
              <w:rPr>
                <w:szCs w:val="22"/>
              </w:rPr>
            </w:pPr>
          </w:p>
        </w:tc>
      </w:tr>
      <w:tr w:rsidRPr="00E47B30" w:rsidR="00807B13" w:rsidTr="00F21E76" w14:paraId="44FEA115" w14:textId="77777777">
        <w:trPr>
          <w:cantSplit/>
          <w:jc w:val="center"/>
        </w:trPr>
        <w:tc>
          <w:tcPr>
            <w:tcW w:w="690" w:type="pct"/>
            <w:tcBorders>
              <w:top w:val="single" w:color="auto" w:sz="4" w:space="0"/>
              <w:left w:val="single" w:color="auto" w:sz="4" w:space="0"/>
              <w:bottom w:val="single" w:color="auto" w:sz="4" w:space="0"/>
              <w:right w:val="single" w:color="auto" w:sz="4" w:space="0"/>
            </w:tcBorders>
            <w:shd w:val="clear" w:color="auto" w:fill="auto"/>
          </w:tcPr>
          <w:p w:rsidRPr="00212212" w:rsidR="00807B13" w:rsidP="00807B13" w:rsidRDefault="00807B13" w14:paraId="4144C296" w14:textId="77777777">
            <w:pPr>
              <w:pStyle w:val="BodyText"/>
              <w:spacing w:after="120"/>
            </w:pPr>
          </w:p>
        </w:tc>
        <w:tc>
          <w:tcPr>
            <w:tcW w:w="523" w:type="pct"/>
            <w:tcBorders>
              <w:top w:val="single" w:color="auto" w:sz="4" w:space="0"/>
              <w:left w:val="single" w:color="auto" w:sz="4" w:space="0"/>
              <w:bottom w:val="single" w:color="auto" w:sz="4" w:space="0"/>
              <w:right w:val="single" w:color="auto" w:sz="4" w:space="0"/>
            </w:tcBorders>
            <w:shd w:val="clear" w:color="auto" w:fill="auto"/>
          </w:tcPr>
          <w:p w:rsidRPr="00212212" w:rsidR="00807B13" w:rsidP="00807B13" w:rsidRDefault="000D00E3" w14:paraId="05E9CD23" w14:textId="57CBF4F8">
            <w:pPr>
              <w:pStyle w:val="BodyText"/>
              <w:spacing w:after="120"/>
              <w:jc w:val="center"/>
            </w:pPr>
            <w:hyperlink w:history="1" r:id="rId73">
              <w:r w:rsidRPr="0099173B" w:rsidR="00807B13">
                <w:rPr>
                  <w:rStyle w:val="Hyperlink"/>
                  <w:sz w:val="21"/>
                  <w:szCs w:val="21"/>
                </w:rPr>
                <w:t>406</w:t>
              </w:r>
            </w:hyperlink>
          </w:p>
        </w:tc>
        <w:tc>
          <w:tcPr>
            <w:tcW w:w="1951" w:type="pct"/>
            <w:tcBorders>
              <w:top w:val="single" w:color="auto" w:sz="4" w:space="0"/>
              <w:left w:val="single" w:color="auto" w:sz="4" w:space="0"/>
              <w:bottom w:val="single" w:color="auto" w:sz="4" w:space="0"/>
              <w:right w:val="single" w:color="auto" w:sz="4" w:space="0"/>
            </w:tcBorders>
            <w:shd w:val="clear" w:color="auto" w:fill="auto"/>
          </w:tcPr>
          <w:p w:rsidR="00807B13" w:rsidP="00807B13" w:rsidRDefault="00807B13" w14:paraId="2DC7B50F" w14:textId="03F15F05">
            <w:pPr>
              <w:pStyle w:val="BodyText"/>
              <w:spacing w:after="120"/>
              <w:rPr>
                <w:b/>
                <w:bCs/>
              </w:rPr>
            </w:pPr>
            <w:r>
              <w:rPr>
                <w:b/>
                <w:bCs/>
              </w:rPr>
              <w:t>If the company’s Form 10-K report did not include the disclosure required by Item 406 and incorporate</w:t>
            </w:r>
            <w:r w:rsidR="00DA0140">
              <w:rPr>
                <w:b/>
                <w:bCs/>
              </w:rPr>
              <w:t>d</w:t>
            </w:r>
            <w:r>
              <w:rPr>
                <w:b/>
                <w:bCs/>
              </w:rPr>
              <w:t xml:space="preserve"> the Form 10</w:t>
            </w:r>
            <w:r w:rsidR="00DA0140">
              <w:rPr>
                <w:b/>
                <w:bCs/>
              </w:rPr>
              <w:noBreakHyphen/>
            </w:r>
            <w:r>
              <w:rPr>
                <w:b/>
                <w:bCs/>
              </w:rPr>
              <w:t xml:space="preserve">K Part III from the company’s definitive proxy statement, the proxy statement must include </w:t>
            </w:r>
            <w:r w:rsidR="00DA0140">
              <w:rPr>
                <w:b/>
                <w:bCs/>
              </w:rPr>
              <w:t>the following</w:t>
            </w:r>
            <w:r>
              <w:rPr>
                <w:b/>
                <w:bCs/>
              </w:rPr>
              <w:t xml:space="preserve"> disclosure.</w:t>
            </w:r>
          </w:p>
          <w:p w:rsidR="00AA4315" w:rsidP="00807B13" w:rsidRDefault="000D00E3" w14:paraId="252F9066" w14:textId="77777777">
            <w:pPr>
              <w:keepNext/>
              <w:keepLines/>
              <w:tabs>
                <w:tab w:val="left" w:pos="1248"/>
              </w:tabs>
              <w:rPr>
                <w:sz w:val="21"/>
                <w:szCs w:val="21"/>
              </w:rPr>
            </w:pPr>
            <w:hyperlink w:history="1" r:id="rId74">
              <w:r w:rsidRPr="00764E9F" w:rsidR="00807B13">
                <w:rPr>
                  <w:rStyle w:val="Hyperlink"/>
                  <w:sz w:val="21"/>
                  <w:szCs w:val="21"/>
                </w:rPr>
                <w:t>Item 406 of Regulation S-K </w:t>
              </w:r>
            </w:hyperlink>
            <w:r w:rsidRPr="00764E9F" w:rsidR="00807B13">
              <w:rPr>
                <w:sz w:val="21"/>
                <w:szCs w:val="21"/>
              </w:rPr>
              <w:t>requires the company to disclose whether it has adopted a code of ethics that applies to its principal executive officer, principal financial officer, principal accounting officer or controller, or persons performing similar functions</w:t>
            </w:r>
            <w:r w:rsidR="00AA4315">
              <w:rPr>
                <w:sz w:val="21"/>
                <w:szCs w:val="21"/>
              </w:rPr>
              <w:t>.</w:t>
            </w:r>
          </w:p>
          <w:p w:rsidR="00AA4315" w:rsidP="00807B13" w:rsidRDefault="00AA4315" w14:paraId="3AF3AEDF" w14:textId="45795D4E">
            <w:pPr>
              <w:keepNext/>
              <w:keepLines/>
              <w:tabs>
                <w:tab w:val="left" w:pos="1248"/>
              </w:tabs>
              <w:rPr>
                <w:sz w:val="21"/>
                <w:szCs w:val="21"/>
              </w:rPr>
            </w:pPr>
            <w:r>
              <w:rPr>
                <w:sz w:val="21"/>
                <w:szCs w:val="21"/>
              </w:rPr>
              <w:t>If the company has adopted a code of ethics, this disclosure should include how the company makes the code of ethics available as required by Item 406(c).</w:t>
            </w:r>
            <w:r w:rsidR="00CA3381">
              <w:rPr>
                <w:sz w:val="21"/>
                <w:szCs w:val="21"/>
              </w:rPr>
              <w:t xml:space="preserve"> </w:t>
            </w:r>
            <w:r>
              <w:rPr>
                <w:sz w:val="21"/>
                <w:szCs w:val="21"/>
              </w:rPr>
              <w:t>If the company posts the code of ethics on its website in compliance with Item 406(c)(2), this disclosure should identify the specific page on the company’s website where the code of ethics is available, not the company’s general website URL.</w:t>
            </w:r>
          </w:p>
          <w:p w:rsidRPr="00764E9F" w:rsidR="00807B13" w:rsidP="00807B13" w:rsidRDefault="00807B13" w14:paraId="70DFA9AD" w14:textId="2630D8A3">
            <w:pPr>
              <w:keepNext/>
              <w:keepLines/>
              <w:tabs>
                <w:tab w:val="left" w:pos="1248"/>
              </w:tabs>
              <w:rPr>
                <w:sz w:val="21"/>
                <w:szCs w:val="21"/>
              </w:rPr>
            </w:pPr>
            <w:r w:rsidRPr="00764E9F">
              <w:rPr>
                <w:sz w:val="21"/>
                <w:szCs w:val="21"/>
              </w:rPr>
              <w:t>If the company has not adopted such a code of ethics, it must explain why it has not done so</w:t>
            </w:r>
            <w:r w:rsidR="00AA4315">
              <w:rPr>
                <w:sz w:val="21"/>
                <w:szCs w:val="21"/>
              </w:rPr>
              <w:t>.</w:t>
            </w:r>
          </w:p>
          <w:p w:rsidRPr="00764E9F" w:rsidR="00807B13" w:rsidP="00807B13" w:rsidRDefault="00807B13" w14:paraId="140CA221" w14:textId="77777777">
            <w:pPr>
              <w:keepNext/>
              <w:keepLines/>
              <w:tabs>
                <w:tab w:val="left" w:pos="1248"/>
              </w:tabs>
              <w:rPr>
                <w:sz w:val="21"/>
                <w:szCs w:val="21"/>
              </w:rPr>
            </w:pPr>
            <w:r w:rsidRPr="00764E9F">
              <w:rPr>
                <w:sz w:val="21"/>
                <w:szCs w:val="21"/>
              </w:rPr>
              <w:t xml:space="preserve">“Code of ethics” under </w:t>
            </w:r>
            <w:hyperlink w:history="1" w:anchor="p-229.406(b)" r:id="rId75">
              <w:r w:rsidRPr="00764E9F">
                <w:rPr>
                  <w:rStyle w:val="Hyperlink"/>
                  <w:sz w:val="21"/>
                  <w:szCs w:val="21"/>
                </w:rPr>
                <w:t>Item 406(b)</w:t>
              </w:r>
            </w:hyperlink>
            <w:r w:rsidRPr="00764E9F">
              <w:rPr>
                <w:sz w:val="21"/>
                <w:szCs w:val="21"/>
              </w:rPr>
              <w:t xml:space="preserve"> means standards reasonably designed to deter wrongdoing and to promote ethical handling of actual or apparent conflicts of interest; full, fair, accurate, timely and understandable disclosure in filed reports; and compliance with applicable laws.</w:t>
            </w:r>
          </w:p>
          <w:p w:rsidRPr="00764E9F" w:rsidR="00807B13" w:rsidP="00807B13" w:rsidRDefault="000D00E3" w14:paraId="0167C8EE" w14:textId="77777777">
            <w:pPr>
              <w:keepNext/>
              <w:keepLines/>
              <w:tabs>
                <w:tab w:val="left" w:pos="1248"/>
              </w:tabs>
              <w:rPr>
                <w:sz w:val="21"/>
                <w:szCs w:val="21"/>
              </w:rPr>
            </w:pPr>
            <w:hyperlink w:history="1" w:anchor="p-229.406(c)" r:id="rId76">
              <w:r w:rsidRPr="0099173B" w:rsidR="00807B13">
                <w:rPr>
                  <w:rStyle w:val="Hyperlink"/>
                  <w:sz w:val="21"/>
                  <w:szCs w:val="21"/>
                </w:rPr>
                <w:t>Item 406(c)</w:t>
              </w:r>
            </w:hyperlink>
            <w:r w:rsidR="00807B13">
              <w:rPr>
                <w:sz w:val="21"/>
                <w:szCs w:val="21"/>
              </w:rPr>
              <w:t xml:space="preserve"> requires </w:t>
            </w:r>
            <w:r w:rsidRPr="00764E9F" w:rsidR="00807B13">
              <w:rPr>
                <w:sz w:val="21"/>
                <w:szCs w:val="21"/>
              </w:rPr>
              <w:t xml:space="preserve">the company </w:t>
            </w:r>
            <w:r w:rsidR="00807B13">
              <w:rPr>
                <w:sz w:val="21"/>
                <w:szCs w:val="21"/>
              </w:rPr>
              <w:t>to</w:t>
            </w:r>
            <w:r w:rsidRPr="00764E9F" w:rsidR="00807B13">
              <w:rPr>
                <w:sz w:val="21"/>
                <w:szCs w:val="21"/>
              </w:rPr>
              <w:t xml:space="preserve"> file a copy of its code of ethics as an exhibit to the Form 10-K</w:t>
            </w:r>
            <w:r w:rsidR="00807B13">
              <w:rPr>
                <w:sz w:val="21"/>
                <w:szCs w:val="21"/>
              </w:rPr>
              <w:t>, post the code of ethics on its website or provide an undertaking to send copies of the code of ethics upon request, as described below</w:t>
            </w:r>
            <w:r w:rsidRPr="00764E9F" w:rsidR="00807B13">
              <w:rPr>
                <w:sz w:val="21"/>
                <w:szCs w:val="21"/>
              </w:rPr>
              <w:t xml:space="preserve">. </w:t>
            </w:r>
          </w:p>
          <w:p w:rsidRPr="00155229" w:rsidR="00807B13" w:rsidP="00807B13" w:rsidRDefault="00807B13" w14:paraId="756F669E" w14:textId="5428A7DA">
            <w:pPr>
              <w:autoSpaceDE w:val="0"/>
              <w:autoSpaceDN w:val="0"/>
              <w:adjustRightInd w:val="0"/>
              <w:spacing w:after="240"/>
              <w:rPr>
                <w:b/>
                <w:bCs/>
                <w:i/>
                <w:iCs/>
              </w:rPr>
            </w:pPr>
            <w:r w:rsidRPr="00155229">
              <w:rPr>
                <w:i/>
                <w:iCs/>
                <w:sz w:val="21"/>
                <w:szCs w:val="21"/>
              </w:rPr>
              <w:t>Confirm that the disclosure required by Item 406 is incorporated by reference from the company’s definitive proxy statement or is included in the Form 10-K.</w:t>
            </w:r>
            <w:r w:rsidRPr="00155229" w:rsidR="00AA4315">
              <w:rPr>
                <w:i/>
                <w:iCs/>
                <w:sz w:val="21"/>
                <w:szCs w:val="21"/>
              </w:rPr>
              <w:t xml:space="preserve">  If the company posts the code of ethics on its website, confirm that the website address is a direct link to the code of ethics.</w:t>
            </w:r>
          </w:p>
        </w:tc>
        <w:tc>
          <w:tcPr>
            <w:tcW w:w="931" w:type="pct"/>
          </w:tcPr>
          <w:p w:rsidR="00807B13" w:rsidP="00807B13" w:rsidRDefault="00807B13" w14:paraId="728FD270" w14:textId="77777777">
            <w:pPr>
              <w:pStyle w:val="BodyText"/>
            </w:pPr>
            <w:r>
              <w:t xml:space="preserve">The </w:t>
            </w:r>
            <w:hyperlink w:history="1" r:id="rId77">
              <w:r w:rsidRPr="007F07FB">
                <w:rPr>
                  <w:rStyle w:val="Hyperlink"/>
                </w:rPr>
                <w:t>adopting release</w:t>
              </w:r>
            </w:hyperlink>
            <w:r>
              <w:t xml:space="preserve"> states as follows in Section III, Paperwork Reduction Act::</w:t>
            </w:r>
          </w:p>
          <w:p w:rsidR="00807B13" w:rsidP="00807B13" w:rsidRDefault="00807B13" w14:paraId="12890D7B" w14:textId="77777777">
            <w:pPr>
              <w:pStyle w:val="BodyText"/>
              <w:spacing w:after="120"/>
            </w:pPr>
            <w:r>
              <w:t>A. Summary of Amendments</w:t>
            </w:r>
          </w:p>
          <w:p w:rsidR="00807B13" w:rsidP="00807B13" w:rsidRDefault="00807B13" w14:paraId="2ED6D7DD" w14:textId="77777777">
            <w:pPr>
              <w:pStyle w:val="BodyText"/>
            </w:pPr>
            <w:r>
              <w:t>The amendments require two new types of disclosure that must be included in Form 10-K, Form 10-KSB, Form 20-F and Form 40-F</w:t>
            </w:r>
            <w:r w:rsidRPr="007F07FB">
              <w:rPr>
                <w:i/>
                <w:iCs/>
              </w:rPr>
              <w:t xml:space="preserve">. A domestic company may, at its discretion, provide the new disclosures in its proxy or information statement on Schedule 14A or </w:t>
            </w:r>
            <w:proofErr w:type="spellStart"/>
            <w:r w:rsidRPr="007F07FB">
              <w:rPr>
                <w:i/>
                <w:iCs/>
              </w:rPr>
              <w:t>14C</w:t>
            </w:r>
            <w:proofErr w:type="spellEnd"/>
            <w:r w:rsidRPr="007F07FB">
              <w:rPr>
                <w:i/>
                <w:iCs/>
              </w:rPr>
              <w:t xml:space="preserve"> and incorporate those disclosures by reference into its annual report.</w:t>
            </w:r>
            <w:r>
              <w:rPr>
                <w:i/>
                <w:iCs/>
              </w:rPr>
              <w:t xml:space="preserve"> </w:t>
            </w:r>
            <w:r>
              <w:t>(emphasis added)</w:t>
            </w:r>
          </w:p>
          <w:p w:rsidRPr="00212212" w:rsidR="00807B13" w:rsidP="00807B13" w:rsidRDefault="000D00E3" w14:paraId="4DC0B05C" w14:textId="03240B43">
            <w:pPr>
              <w:pStyle w:val="BodyText"/>
            </w:pPr>
            <w:hyperlink w:history="1" r:id="rId78">
              <w:r w:rsidRPr="00345658" w:rsidR="00807B13">
                <w:rPr>
                  <w:rStyle w:val="Hyperlink"/>
                </w:rPr>
                <w:t>Disclosure Required by Sections 406 and 407 of the Sarbanes Oxley Act of 2002</w:t>
              </w:r>
            </w:hyperlink>
            <w:r w:rsidR="00807B13">
              <w:t>, Release Nos. 33-8177; 34-47235 (January 23, 2003)</w:t>
            </w:r>
          </w:p>
        </w:tc>
        <w:tc>
          <w:tcPr>
            <w:tcW w:w="561" w:type="pct"/>
            <w:tcBorders>
              <w:top w:val="single" w:color="auto" w:sz="4" w:space="0"/>
              <w:left w:val="single" w:color="auto" w:sz="4" w:space="0"/>
              <w:bottom w:val="single" w:color="auto" w:sz="4" w:space="0"/>
              <w:right w:val="single" w:color="auto" w:sz="4" w:space="0"/>
            </w:tcBorders>
            <w:shd w:val="clear" w:color="auto" w:fill="auto"/>
          </w:tcPr>
          <w:p w:rsidRPr="00212212" w:rsidR="00807B13" w:rsidP="00807B13" w:rsidRDefault="00807B13" w14:paraId="743AA817" w14:textId="77777777">
            <w:pPr>
              <w:pStyle w:val="BodyText"/>
              <w:contextualSpacing/>
              <w:rPr>
                <w:sz w:val="20"/>
                <w:u w:val="single"/>
              </w:rPr>
            </w:pPr>
          </w:p>
        </w:tc>
        <w:tc>
          <w:tcPr>
            <w:tcW w:w="344" w:type="pct"/>
            <w:tcBorders>
              <w:top w:val="single" w:color="auto" w:sz="4" w:space="0"/>
              <w:left w:val="single" w:color="auto" w:sz="4" w:space="0"/>
              <w:bottom w:val="single" w:color="auto" w:sz="4" w:space="0"/>
              <w:right w:val="single" w:color="auto" w:sz="4" w:space="0"/>
            </w:tcBorders>
            <w:vAlign w:val="center"/>
          </w:tcPr>
          <w:p w:rsidRPr="00DB5740" w:rsidR="00807B13" w:rsidP="00807B13" w:rsidRDefault="00807B13" w14:paraId="18D0B1E1" w14:textId="77777777">
            <w:pPr>
              <w:jc w:val="center"/>
            </w:pPr>
            <w:r w:rsidRPr="00DB5740">
              <w:t xml:space="preserve">Yes </w:t>
            </w:r>
            <w:r w:rsidRPr="00DB5740">
              <w:rPr>
                <w:rFonts w:ascii="Segoe UI Symbol" w:hAnsi="Segoe UI Symbol" w:eastAsia="MS Gothic" w:cs="Segoe UI Symbol"/>
              </w:rPr>
              <w:t>☐</w:t>
            </w:r>
          </w:p>
          <w:p w:rsidRPr="00E47B30" w:rsidR="00807B13" w:rsidP="00807B13" w:rsidRDefault="00807B13" w14:paraId="094F5F10" w14:textId="1944C27C">
            <w:pPr>
              <w:spacing w:after="0"/>
              <w:jc w:val="center"/>
              <w:rPr>
                <w:szCs w:val="22"/>
              </w:rPr>
            </w:pPr>
            <w:r w:rsidRPr="00DB5740">
              <w:t xml:space="preserve">No  </w:t>
            </w:r>
            <w:r w:rsidRPr="00DB5740">
              <w:rPr>
                <w:rFonts w:ascii="Segoe UI Symbol" w:hAnsi="Segoe UI Symbol" w:eastAsia="MS Gothic" w:cs="Segoe UI Symbol"/>
              </w:rPr>
              <w:t>☐</w:t>
            </w:r>
          </w:p>
        </w:tc>
      </w:tr>
      <w:tr w:rsidRPr="00E47B30" w:rsidR="000459BE" w:rsidTr="00E708F1" w14:paraId="6D69CD9E" w14:textId="77777777">
        <w:trPr>
          <w:cantSplit/>
          <w:jc w:val="center"/>
        </w:trPr>
        <w:tc>
          <w:tcPr>
            <w:tcW w:w="5000" w:type="pct"/>
            <w:gridSpan w:val="6"/>
            <w:shd w:val="clear" w:color="auto" w:fill="D9D9D9" w:themeFill="background1" w:themeFillShade="D9"/>
          </w:tcPr>
          <w:p w:rsidRPr="00A10A15" w:rsidR="000459BE" w:rsidP="000459BE" w:rsidRDefault="000459BE" w14:paraId="0935BB94" w14:textId="47790DAE">
            <w:pPr>
              <w:spacing w:after="0"/>
              <w:rPr>
                <w:b/>
                <w:bCs/>
                <w:szCs w:val="22"/>
              </w:rPr>
            </w:pPr>
            <w:r>
              <w:rPr>
                <w:b/>
                <w:bCs/>
                <w:szCs w:val="22"/>
              </w:rPr>
              <w:lastRenderedPageBreak/>
              <w:t>Item 8.  Compensation of Directors and Executive Officers</w:t>
            </w:r>
          </w:p>
        </w:tc>
      </w:tr>
      <w:tr w:rsidRPr="00E47B30" w:rsidR="000459BE" w:rsidTr="00E708F1" w14:paraId="6F709C7E" w14:textId="77777777">
        <w:trPr>
          <w:cantSplit/>
          <w:jc w:val="center"/>
        </w:trPr>
        <w:tc>
          <w:tcPr>
            <w:tcW w:w="690" w:type="pct"/>
            <w:shd w:val="clear" w:color="auto" w:fill="auto"/>
          </w:tcPr>
          <w:p w:rsidRPr="00E47B30" w:rsidR="000459BE" w:rsidP="000459BE" w:rsidRDefault="000459BE" w14:paraId="26E9C7D3" w14:textId="74FF5650">
            <w:r w:rsidRPr="00E47B30">
              <w:t xml:space="preserve">Item 8. Compensation of </w:t>
            </w:r>
            <w:r>
              <w:t>Directors and Executive Officers</w:t>
            </w:r>
          </w:p>
        </w:tc>
        <w:tc>
          <w:tcPr>
            <w:tcW w:w="523" w:type="pct"/>
            <w:shd w:val="clear" w:color="auto" w:fill="auto"/>
          </w:tcPr>
          <w:p w:rsidR="000459BE" w:rsidP="000459BE" w:rsidRDefault="000D00E3" w14:paraId="3C603330" w14:textId="4238AF1C">
            <w:pPr>
              <w:jc w:val="center"/>
            </w:pPr>
            <w:hyperlink w:history="1" r:id="rId79">
              <w:r w:rsidRPr="00863DF3" w:rsidR="000459BE">
                <w:rPr>
                  <w:rStyle w:val="Hyperlink"/>
                </w:rPr>
                <w:t>Regulation G</w:t>
              </w:r>
            </w:hyperlink>
          </w:p>
          <w:p w:rsidRPr="00E47B30" w:rsidR="000459BE" w:rsidP="000459BE" w:rsidRDefault="000D00E3" w14:paraId="71A3A1C5" w14:textId="69C4E957">
            <w:pPr>
              <w:jc w:val="center"/>
            </w:pPr>
            <w:hyperlink w:history="1" w:anchor="p-229.10(e)" r:id="rId80">
              <w:r w:rsidRPr="00863DF3" w:rsidR="000459BE">
                <w:rPr>
                  <w:rStyle w:val="Hyperlink"/>
                </w:rPr>
                <w:t>Item 10(e)</w:t>
              </w:r>
            </w:hyperlink>
          </w:p>
        </w:tc>
        <w:tc>
          <w:tcPr>
            <w:tcW w:w="1951" w:type="pct"/>
            <w:shd w:val="clear" w:color="auto" w:fill="auto"/>
          </w:tcPr>
          <w:p w:rsidR="000459BE" w:rsidP="000459BE" w:rsidRDefault="000459BE" w14:paraId="4A16BCE6" w14:textId="77777777">
            <w:pPr>
              <w:spacing w:after="240"/>
            </w:pPr>
            <w:r>
              <w:rPr>
                <w:b/>
                <w:bCs/>
              </w:rPr>
              <w:t>Non-GAAP Financial Measures in Compensation Disclosure</w:t>
            </w:r>
          </w:p>
          <w:p w:rsidR="000459BE" w:rsidP="000459BE" w:rsidRDefault="000459BE" w14:paraId="13CE486C" w14:textId="435C9A90">
            <w:pPr>
              <w:spacing w:after="240"/>
            </w:pPr>
            <w:r>
              <w:t>Use of non-GAAP financial measures (</w:t>
            </w:r>
            <w:proofErr w:type="spellStart"/>
            <w:r>
              <w:t>NGFMs</w:t>
            </w:r>
            <w:proofErr w:type="spellEnd"/>
            <w:r>
              <w:t xml:space="preserve">) in the proxy statement is generally subject to </w:t>
            </w:r>
            <w:hyperlink w:history="1" r:id="rId81">
              <w:r w:rsidRPr="00863DF3">
                <w:rPr>
                  <w:rStyle w:val="Hyperlink"/>
                </w:rPr>
                <w:t>Regulation G</w:t>
              </w:r>
            </w:hyperlink>
            <w:r>
              <w:t xml:space="preserve"> and to </w:t>
            </w:r>
            <w:hyperlink w:history="1" w:anchor="p-229.10(e)" r:id="rId82">
              <w:r w:rsidRPr="00863DF3">
                <w:rPr>
                  <w:rStyle w:val="Hyperlink"/>
                </w:rPr>
                <w:t>Item 10(e)</w:t>
              </w:r>
            </w:hyperlink>
            <w:r>
              <w:t xml:space="preserve"> of Regulation S-K in its entirety.</w:t>
            </w:r>
          </w:p>
          <w:p w:rsidRPr="00863DF3" w:rsidR="000459BE" w:rsidP="000459BE" w:rsidRDefault="000459BE" w14:paraId="1568373D" w14:textId="5DA3A797">
            <w:r>
              <w:t xml:space="preserve">Instruction 5 to </w:t>
            </w:r>
            <w:hyperlink w:history="1" w:anchor="p-229.402(b)" r:id="rId83">
              <w:r w:rsidRPr="00E40E74">
                <w:rPr>
                  <w:rStyle w:val="Hyperlink"/>
                </w:rPr>
                <w:t>Item 402(b)</w:t>
              </w:r>
            </w:hyperlink>
            <w:r>
              <w:t>, Compensation Disclosure and Analysis, states that “[d]</w:t>
            </w:r>
            <w:proofErr w:type="spellStart"/>
            <w:r w:rsidRPr="00863DF3">
              <w:t>isclosure</w:t>
            </w:r>
            <w:proofErr w:type="spellEnd"/>
            <w:r w:rsidRPr="00863DF3">
              <w:t xml:space="preserve"> of target levels that are non-GAAP financial measures will not be subject to Regulation G and Item 10(e) [of Regulation S-K]; however, disclosure must be provided as to how the number is calculated from the </w:t>
            </w:r>
            <w:r w:rsidR="00D83A64">
              <w:t>[company’s]</w:t>
            </w:r>
            <w:r w:rsidRPr="00863DF3">
              <w:t xml:space="preserve"> audited financial statements.</w:t>
            </w:r>
            <w:r>
              <w:t>”</w:t>
            </w:r>
          </w:p>
          <w:p w:rsidR="000459BE" w:rsidP="000459BE" w:rsidRDefault="000459BE" w14:paraId="09929F9E" w14:textId="77777777">
            <w:pPr>
              <w:spacing w:after="240"/>
            </w:pPr>
            <w:r>
              <w:t>The most common example of the disclosure to which this instruction applies is tabular or textual disclosure that compares an incentive target amount or percentage with the actual amount or percentage and the related bonus payments or awards.</w:t>
            </w:r>
          </w:p>
          <w:p w:rsidR="000459BE" w:rsidP="000459BE" w:rsidRDefault="000459BE" w14:paraId="658951A9" w14:textId="458D1D3F">
            <w:pPr>
              <w:spacing w:after="240"/>
            </w:pPr>
            <w:r>
              <w:t xml:space="preserve">As non-exclusive examples, Instruction 5 </w:t>
            </w:r>
            <w:r w:rsidRPr="00863DF3">
              <w:rPr>
                <w:b/>
                <w:bCs/>
              </w:rPr>
              <w:t>does not apply</w:t>
            </w:r>
            <w:r>
              <w:t xml:space="preserve"> to instances in which the company uses any </w:t>
            </w:r>
            <w:proofErr w:type="spellStart"/>
            <w:r>
              <w:t>NGFMs</w:t>
            </w:r>
            <w:proofErr w:type="spellEnd"/>
            <w:r>
              <w:t xml:space="preserve"> </w:t>
            </w:r>
          </w:p>
          <w:p w:rsidR="000459BE" w:rsidP="000459BE" w:rsidRDefault="000459BE" w14:paraId="7942A250" w14:textId="77777777">
            <w:pPr>
              <w:pStyle w:val="ListBullet"/>
            </w:pPr>
            <w:r>
              <w:t xml:space="preserve">Other than in </w:t>
            </w:r>
            <w:proofErr w:type="spellStart"/>
            <w:r>
              <w:t>CD&amp;A</w:t>
            </w:r>
            <w:proofErr w:type="spellEnd"/>
            <w:r>
              <w:t xml:space="preserve">; </w:t>
            </w:r>
          </w:p>
          <w:p w:rsidR="000459BE" w:rsidP="000459BE" w:rsidRDefault="000459BE" w14:paraId="3373AC10" w14:textId="43B9066D">
            <w:pPr>
              <w:pStyle w:val="ListBullet"/>
            </w:pPr>
            <w:r>
              <w:t>to support a “pay for performance” compensation policy;</w:t>
            </w:r>
          </w:p>
          <w:p w:rsidR="000459BE" w:rsidP="000459BE" w:rsidRDefault="000459BE" w14:paraId="486848E8" w14:textId="77777777">
            <w:pPr>
              <w:pStyle w:val="ListBullet"/>
            </w:pPr>
            <w:r>
              <w:t>to justify pay levels; or</w:t>
            </w:r>
          </w:p>
          <w:p w:rsidRPr="00863DF3" w:rsidR="000459BE" w:rsidP="000459BE" w:rsidRDefault="000459BE" w14:paraId="2D8204A5" w14:textId="63C1B82F">
            <w:pPr>
              <w:pStyle w:val="ListBullet"/>
            </w:pPr>
            <w:r>
              <w:t>or to explain or justify CEO compensation in the CEO pay ratio disclosure.</w:t>
            </w:r>
          </w:p>
        </w:tc>
        <w:tc>
          <w:tcPr>
            <w:tcW w:w="931" w:type="pct"/>
          </w:tcPr>
          <w:p w:rsidR="000459BE" w:rsidP="000459BE" w:rsidRDefault="000459BE" w14:paraId="6FF8EE01" w14:textId="77777777">
            <w:pPr>
              <w:spacing w:after="240"/>
            </w:pPr>
          </w:p>
        </w:tc>
        <w:tc>
          <w:tcPr>
            <w:tcW w:w="561" w:type="pct"/>
          </w:tcPr>
          <w:p w:rsidRPr="007E0B55" w:rsidR="000459BE" w:rsidP="000459BE" w:rsidRDefault="000459BE" w14:paraId="3BCF81D1" w14:textId="77777777">
            <w:pPr>
              <w:spacing w:after="240"/>
              <w:contextualSpacing/>
              <w:rPr>
                <w:sz w:val="20"/>
              </w:rPr>
            </w:pPr>
          </w:p>
        </w:tc>
        <w:tc>
          <w:tcPr>
            <w:tcW w:w="344" w:type="pct"/>
            <w:vAlign w:val="center"/>
          </w:tcPr>
          <w:p w:rsidRPr="00E47B30" w:rsidR="000459BE" w:rsidP="000459BE" w:rsidRDefault="000459BE" w14:paraId="22B406AB" w14:textId="77777777">
            <w:pPr>
              <w:spacing w:after="0"/>
              <w:jc w:val="center"/>
              <w:rPr>
                <w:szCs w:val="22"/>
              </w:rPr>
            </w:pPr>
          </w:p>
        </w:tc>
      </w:tr>
      <w:tr w:rsidRPr="00E47B30" w:rsidR="000459BE" w:rsidTr="00E708F1" w14:paraId="49EB6D69" w14:textId="77777777">
        <w:trPr>
          <w:cantSplit/>
          <w:jc w:val="center"/>
        </w:trPr>
        <w:tc>
          <w:tcPr>
            <w:tcW w:w="690" w:type="pct"/>
            <w:shd w:val="clear" w:color="auto" w:fill="auto"/>
          </w:tcPr>
          <w:p w:rsidRPr="00E47B30" w:rsidR="000459BE" w:rsidP="000459BE" w:rsidRDefault="000459BE" w14:paraId="029F388B" w14:textId="77777777"/>
        </w:tc>
        <w:tc>
          <w:tcPr>
            <w:tcW w:w="523" w:type="pct"/>
            <w:shd w:val="clear" w:color="auto" w:fill="auto"/>
          </w:tcPr>
          <w:p w:rsidRPr="00E47B30" w:rsidR="000459BE" w:rsidP="000459BE" w:rsidRDefault="000459BE" w14:paraId="3148D841" w14:textId="77777777">
            <w:pPr>
              <w:jc w:val="center"/>
            </w:pPr>
          </w:p>
        </w:tc>
        <w:tc>
          <w:tcPr>
            <w:tcW w:w="1951" w:type="pct"/>
            <w:shd w:val="clear" w:color="auto" w:fill="auto"/>
          </w:tcPr>
          <w:p w:rsidR="000459BE" w:rsidP="000459BE" w:rsidRDefault="000459BE" w14:paraId="34994F60" w14:textId="54417CE8">
            <w:pPr>
              <w:spacing w:after="240"/>
            </w:pPr>
            <w:r>
              <w:t xml:space="preserve">A </w:t>
            </w:r>
            <w:hyperlink w:history="1" r:id="rId84">
              <w:r w:rsidRPr="00877DC4">
                <w:rPr>
                  <w:rStyle w:val="Hyperlink"/>
                </w:rPr>
                <w:t>staff interpretation</w:t>
              </w:r>
            </w:hyperlink>
            <w:r>
              <w:t xml:space="preserve"> provides a limited exception from compliance with Regulation G and Item 10(e) under the following “pay-related circumstances only”:</w:t>
            </w:r>
          </w:p>
          <w:p w:rsidR="000459BE" w:rsidP="000459BE" w:rsidRDefault="000459BE" w14:paraId="08D538C6" w14:textId="4C105740">
            <w:pPr>
              <w:pStyle w:val="ListBullet"/>
              <w:ind w:left="360" w:hanging="270"/>
            </w:pPr>
            <w:r>
              <w:t xml:space="preserve">The company </w:t>
            </w:r>
            <w:r w:rsidRPr="00877DC4">
              <w:t>includes the required GAAP reconciliation and other information in an annex to the proxy statement</w:t>
            </w:r>
            <w:r>
              <w:t>; and</w:t>
            </w:r>
          </w:p>
          <w:p w:rsidR="000459BE" w:rsidP="000459BE" w:rsidRDefault="000459BE" w14:paraId="59088221" w14:textId="77777777">
            <w:pPr>
              <w:pStyle w:val="ListBullet"/>
              <w:ind w:left="360" w:hanging="270"/>
            </w:pPr>
            <w:r>
              <w:t xml:space="preserve">The company </w:t>
            </w:r>
            <w:r w:rsidRPr="00877DC4">
              <w:t xml:space="preserve">includes a prominent cross-reference to </w:t>
            </w:r>
            <w:r>
              <w:t>the</w:t>
            </w:r>
            <w:r w:rsidRPr="00877DC4">
              <w:t xml:space="preserve"> annex. </w:t>
            </w:r>
          </w:p>
          <w:p w:rsidR="000459BE" w:rsidP="000459BE" w:rsidRDefault="000459BE" w14:paraId="380D0BF9" w14:textId="66553C82">
            <w:pPr>
              <w:spacing w:after="240"/>
            </w:pPr>
            <w:r>
              <w:t xml:space="preserve">As an alternative </w:t>
            </w:r>
            <w:r w:rsidRPr="00877DC4">
              <w:t>if the non-GAAP financial measures are the same as those included in the Form 10-K that is incorporating by reference the proxy statement</w:t>
            </w:r>
            <w:r>
              <w:t>’</w:t>
            </w:r>
            <w:r w:rsidRPr="00877DC4">
              <w:t xml:space="preserve">s Item 402 </w:t>
            </w:r>
            <w:r>
              <w:t xml:space="preserve">compensation </w:t>
            </w:r>
            <w:r w:rsidRPr="00877DC4">
              <w:t xml:space="preserve">disclosure as part of </w:t>
            </w:r>
            <w:r>
              <w:t>the Form 10-K</w:t>
            </w:r>
            <w:r w:rsidRPr="00877DC4">
              <w:t xml:space="preserve"> Part III information, </w:t>
            </w:r>
            <w:r>
              <w:t>the company can “provide</w:t>
            </w:r>
            <w:r w:rsidRPr="00877DC4">
              <w:t xml:space="preserve"> a prominent cross-reference to the pages in the Form 10-K containing the required GAAP reconciliation and other information</w:t>
            </w:r>
            <w:r>
              <w:t>.”</w:t>
            </w:r>
          </w:p>
          <w:p w:rsidR="000459BE" w:rsidP="000459BE" w:rsidRDefault="000459BE" w14:paraId="24875CDA" w14:textId="77777777">
            <w:pPr>
              <w:spacing w:after="240"/>
            </w:pPr>
            <w:r>
              <w:t>This CD&amp;I is reproduced in the row below.</w:t>
            </w:r>
          </w:p>
          <w:p w:rsidRPr="00877DC4" w:rsidR="000459BE" w:rsidP="000459BE" w:rsidRDefault="000459BE" w14:paraId="529D1273" w14:textId="051353BE">
            <w:pPr>
              <w:spacing w:after="240"/>
              <w:rPr>
                <w:i/>
                <w:iCs/>
              </w:rPr>
            </w:pPr>
            <w:r>
              <w:rPr>
                <w:i/>
                <w:iCs/>
              </w:rPr>
              <w:t>Confirm that all non-GAAP financial measures comply with applicable disclosure requirements. If the proxy statement cross-references the company’s Form 10-K report, check each cross-reference for accuracy.</w:t>
            </w:r>
          </w:p>
        </w:tc>
        <w:tc>
          <w:tcPr>
            <w:tcW w:w="931" w:type="pct"/>
          </w:tcPr>
          <w:p w:rsidR="000459BE" w:rsidP="000459BE" w:rsidRDefault="000459BE" w14:paraId="6ED9B8A4" w14:textId="77777777">
            <w:pPr>
              <w:spacing w:after="240"/>
            </w:pPr>
          </w:p>
        </w:tc>
        <w:tc>
          <w:tcPr>
            <w:tcW w:w="561" w:type="pct"/>
          </w:tcPr>
          <w:p w:rsidRPr="007E0B55" w:rsidR="000459BE" w:rsidP="000459BE" w:rsidRDefault="000459BE" w14:paraId="318D56E0" w14:textId="77777777">
            <w:pPr>
              <w:spacing w:after="240"/>
              <w:contextualSpacing/>
              <w:rPr>
                <w:sz w:val="20"/>
              </w:rPr>
            </w:pPr>
          </w:p>
        </w:tc>
        <w:tc>
          <w:tcPr>
            <w:tcW w:w="344" w:type="pct"/>
            <w:vAlign w:val="center"/>
          </w:tcPr>
          <w:p w:rsidRPr="00E47B30" w:rsidR="000459BE" w:rsidP="000459BE" w:rsidRDefault="000459BE" w14:paraId="513B6746"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164AAD6A" w14:textId="6EF5CD95">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639A2B99" w14:textId="77777777">
        <w:trPr>
          <w:cantSplit/>
          <w:jc w:val="center"/>
        </w:trPr>
        <w:tc>
          <w:tcPr>
            <w:tcW w:w="690" w:type="pct"/>
            <w:shd w:val="clear" w:color="auto" w:fill="auto"/>
          </w:tcPr>
          <w:p w:rsidRPr="00E47B30" w:rsidR="000459BE" w:rsidP="000459BE" w:rsidRDefault="000459BE" w14:paraId="61CE14F7" w14:textId="77777777"/>
        </w:tc>
        <w:tc>
          <w:tcPr>
            <w:tcW w:w="523" w:type="pct"/>
            <w:shd w:val="clear" w:color="auto" w:fill="auto"/>
          </w:tcPr>
          <w:p w:rsidRPr="00E47B30" w:rsidR="000459BE" w:rsidP="000459BE" w:rsidRDefault="000459BE" w14:paraId="3A0743AA" w14:textId="77777777">
            <w:pPr>
              <w:jc w:val="center"/>
            </w:pPr>
          </w:p>
        </w:tc>
        <w:tc>
          <w:tcPr>
            <w:tcW w:w="1951" w:type="pct"/>
            <w:shd w:val="clear" w:color="auto" w:fill="auto"/>
          </w:tcPr>
          <w:p w:rsidRPr="00863DF3" w:rsidR="000459BE" w:rsidP="000459BE" w:rsidRDefault="000D00E3" w14:paraId="225F8906" w14:textId="5DE27919">
            <w:pPr>
              <w:spacing w:after="240"/>
              <w:rPr>
                <w:b/>
                <w:bCs/>
              </w:rPr>
            </w:pPr>
            <w:hyperlink w:history="1" r:id="rId85">
              <w:r w:rsidRPr="00863DF3" w:rsidR="000459BE">
                <w:rPr>
                  <w:rStyle w:val="Hyperlink"/>
                  <w:b/>
                  <w:bCs/>
                </w:rPr>
                <w:t>Section 108. Compensation Discussion and Analysis/Proxy Statement</w:t>
              </w:r>
            </w:hyperlink>
          </w:p>
          <w:p w:rsidRPr="00863DF3" w:rsidR="000459BE" w:rsidP="000459BE" w:rsidRDefault="000459BE" w14:paraId="34D3AC94" w14:textId="1BB8F1D1">
            <w:pPr>
              <w:spacing w:after="240"/>
              <w:rPr>
                <w:b/>
                <w:bCs/>
              </w:rPr>
            </w:pPr>
            <w:r w:rsidRPr="00863DF3">
              <w:rPr>
                <w:b/>
                <w:bCs/>
              </w:rPr>
              <w:t>Question 108.01</w:t>
            </w:r>
          </w:p>
          <w:p w:rsidRPr="00863DF3" w:rsidR="000459BE" w:rsidP="000459BE" w:rsidRDefault="000459BE" w14:paraId="3A724CE2" w14:textId="485937BB">
            <w:pPr>
              <w:spacing w:after="240"/>
            </w:pPr>
            <w:r w:rsidRPr="00863DF3">
              <w:t xml:space="preserve">Question: Instruction 5 to Item 402(b) provides that </w:t>
            </w:r>
            <w:r>
              <w:t>“</w:t>
            </w:r>
            <w:r w:rsidRPr="00863DF3">
              <w:t>[d]</w:t>
            </w:r>
            <w:proofErr w:type="spellStart"/>
            <w:r w:rsidRPr="00863DF3">
              <w:t>isclosure</w:t>
            </w:r>
            <w:proofErr w:type="spellEnd"/>
            <w:r w:rsidRPr="00863DF3">
              <w:t xml:space="preserve"> of target levels that are non-GAAP financial measures will not be subject to Regulation G and Item 10(e); however, disclosure must be provided as to how the number is calculated from the registrant</w:t>
            </w:r>
            <w:r>
              <w:t>’</w:t>
            </w:r>
            <w:r w:rsidRPr="00863DF3">
              <w:t>s audited financial statements.</w:t>
            </w:r>
            <w:r>
              <w:t>”</w:t>
            </w:r>
            <w:r w:rsidRPr="00863DF3">
              <w:t xml:space="preserve"> Does this instruction extend to non-GAAP financial information that does not relate to the disclosure of target levels, but is nevertheless included in Compensation Discussion &amp; Analysis (</w:t>
            </w:r>
            <w:r>
              <w:t>“</w:t>
            </w:r>
            <w:proofErr w:type="spellStart"/>
            <w:r w:rsidRPr="00863DF3">
              <w:t>CD&amp;A</w:t>
            </w:r>
            <w:proofErr w:type="spellEnd"/>
            <w:r>
              <w:t>”</w:t>
            </w:r>
            <w:r w:rsidRPr="00863DF3">
              <w:t>) or other parts of the proxy statement - for example, to explain the relationship between pay and performance?</w:t>
            </w:r>
          </w:p>
          <w:p w:rsidRPr="00863DF3" w:rsidR="000459BE" w:rsidP="000459BE" w:rsidRDefault="000459BE" w14:paraId="62FC63EE" w14:textId="2210F30A">
            <w:pPr>
              <w:spacing w:after="240"/>
            </w:pPr>
            <w:r w:rsidRPr="00863DF3">
              <w:t xml:space="preserve">Answer: No. Instruction 5 to Item 402(b) is limited to </w:t>
            </w:r>
            <w:proofErr w:type="spellStart"/>
            <w:r w:rsidRPr="00863DF3">
              <w:t>CD&amp;A</w:t>
            </w:r>
            <w:proofErr w:type="spellEnd"/>
            <w:r w:rsidRPr="00863DF3">
              <w:t xml:space="preserve"> disclosure of target levels that are non-GAAP financial measures. If non-GAAP financial measures are presented in </w:t>
            </w:r>
            <w:proofErr w:type="spellStart"/>
            <w:r w:rsidRPr="00863DF3">
              <w:t>CD&amp;A</w:t>
            </w:r>
            <w:proofErr w:type="spellEnd"/>
            <w:r w:rsidRPr="00863DF3">
              <w:t xml:space="preserve"> or in any other part of the proxy statement for any other purpose, such as to explain the relationship between pay and performance or to justify certain levels or amounts of pay, then those non-GAAP financial measures are subject to the requirements of Regulation G and Item 10(e) of Regulation S-K.</w:t>
            </w:r>
          </w:p>
          <w:p w:rsidRPr="00863DF3" w:rsidR="000459BE" w:rsidP="000459BE" w:rsidRDefault="000459BE" w14:paraId="43BB94DE" w14:textId="24E6DEC3">
            <w:pPr>
              <w:spacing w:after="240"/>
            </w:pPr>
            <w:r w:rsidRPr="00863DF3">
              <w:t>In these pay-related circumstances only, the staff will not object if a registrant includes the required GAAP reconciliation and other information in an annex to the proxy statement, provided the registrant includes a prominent cross-reference to such annex. Or, if the non-GAAP financial measures are the same as those included in the Form 10-K that is incorporating by reference the proxy statement</w:t>
            </w:r>
            <w:r>
              <w:t>’</w:t>
            </w:r>
            <w:r w:rsidRPr="00863DF3">
              <w:t>s Item 402 disclosure as part of its Part III information, the staff will not object if the registrant complies with Regulation G and Item 10(e) by providing a prominent cross-reference to the pages in the Form 10-K containing the required GAAP reconciliation and other information. [July 8, 2011]</w:t>
            </w:r>
          </w:p>
        </w:tc>
        <w:tc>
          <w:tcPr>
            <w:tcW w:w="931" w:type="pct"/>
          </w:tcPr>
          <w:p w:rsidR="000459BE" w:rsidP="000459BE" w:rsidRDefault="000D00E3" w14:paraId="0E4AE6C3" w14:textId="525F9C49">
            <w:pPr>
              <w:spacing w:after="240"/>
            </w:pPr>
            <w:hyperlink w:history="1" r:id="rId86">
              <w:r w:rsidRPr="00863DF3" w:rsidR="000459BE">
                <w:rPr>
                  <w:rStyle w:val="Hyperlink"/>
                </w:rPr>
                <w:t>SEC Staff Compliance and Disclosure Interpretations, Non-GAAP Financial Measures, Section 108</w:t>
              </w:r>
            </w:hyperlink>
          </w:p>
        </w:tc>
        <w:tc>
          <w:tcPr>
            <w:tcW w:w="561" w:type="pct"/>
          </w:tcPr>
          <w:p w:rsidRPr="007E0B55" w:rsidR="000459BE" w:rsidP="000459BE" w:rsidRDefault="000459BE" w14:paraId="6A837FB5" w14:textId="77777777">
            <w:pPr>
              <w:spacing w:after="240"/>
              <w:contextualSpacing/>
              <w:rPr>
                <w:sz w:val="20"/>
              </w:rPr>
            </w:pPr>
          </w:p>
        </w:tc>
        <w:tc>
          <w:tcPr>
            <w:tcW w:w="344" w:type="pct"/>
            <w:vAlign w:val="center"/>
          </w:tcPr>
          <w:p w:rsidRPr="00E47B30" w:rsidR="000459BE" w:rsidP="000459BE" w:rsidRDefault="000459BE" w14:paraId="51C73DC9" w14:textId="77777777">
            <w:pPr>
              <w:spacing w:after="0"/>
              <w:jc w:val="center"/>
              <w:rPr>
                <w:szCs w:val="22"/>
              </w:rPr>
            </w:pPr>
          </w:p>
        </w:tc>
      </w:tr>
      <w:tr w:rsidRPr="00E47B30" w:rsidR="000459BE" w:rsidTr="00E708F1" w14:paraId="32930096" w14:textId="77777777">
        <w:trPr>
          <w:cantSplit/>
          <w:jc w:val="center"/>
        </w:trPr>
        <w:tc>
          <w:tcPr>
            <w:tcW w:w="690" w:type="pct"/>
            <w:shd w:val="clear" w:color="auto" w:fill="auto"/>
          </w:tcPr>
          <w:p w:rsidRPr="00E47B30" w:rsidR="000459BE" w:rsidP="000459BE" w:rsidRDefault="000459BE" w14:paraId="30544028" w14:textId="2C4752AB">
            <w:r w:rsidRPr="00E47B30">
              <w:lastRenderedPageBreak/>
              <w:t xml:space="preserve">Item 8. Compensation of </w:t>
            </w:r>
            <w:r>
              <w:t>Directors and Executive Officers</w:t>
            </w:r>
          </w:p>
        </w:tc>
        <w:tc>
          <w:tcPr>
            <w:tcW w:w="523" w:type="pct"/>
            <w:shd w:val="clear" w:color="auto" w:fill="auto"/>
          </w:tcPr>
          <w:p w:rsidRPr="00E47B30" w:rsidR="000459BE" w:rsidP="000459BE" w:rsidRDefault="000D00E3" w14:paraId="2B2E0E42" w14:textId="3CD25A04">
            <w:pPr>
              <w:jc w:val="center"/>
            </w:pPr>
            <w:hyperlink w:history="1" r:id="rId87">
              <w:r w:rsidRPr="00877DC4" w:rsidR="000459BE">
                <w:rPr>
                  <w:rStyle w:val="Hyperlink"/>
                </w:rPr>
                <w:t>Item 402</w:t>
              </w:r>
            </w:hyperlink>
          </w:p>
        </w:tc>
        <w:tc>
          <w:tcPr>
            <w:tcW w:w="1951" w:type="pct"/>
            <w:shd w:val="clear" w:color="auto" w:fill="auto"/>
          </w:tcPr>
          <w:p w:rsidRPr="00E47B30" w:rsidR="000459BE" w:rsidP="000459BE" w:rsidRDefault="000459BE" w14:paraId="3814F15A" w14:textId="78C67520">
            <w:pPr>
              <w:spacing w:after="240"/>
            </w:pPr>
            <w:r w:rsidRPr="00E47B30">
              <w:t>Furnish the information required by Item 402 of Regulation S-K</w:t>
            </w:r>
            <w:r>
              <w:t xml:space="preserve"> </w:t>
            </w:r>
            <w:r w:rsidRPr="00E47B30">
              <w:t>and paragraphs (e)(4) and (e)(5) of Item 407 of Regulation S-K</w:t>
            </w:r>
            <w:r>
              <w:t xml:space="preserve"> </w:t>
            </w:r>
            <w:r w:rsidRPr="00E47B30">
              <w:t>if action is to be taken with regard to</w:t>
            </w:r>
            <w:r>
              <w:t xml:space="preserve">:  </w:t>
            </w:r>
          </w:p>
          <w:p w:rsidRPr="00E47B30" w:rsidR="000459BE" w:rsidP="000459BE" w:rsidRDefault="000459BE" w14:paraId="167BCEB5" w14:textId="77777777">
            <w:pPr>
              <w:spacing w:after="240"/>
              <w:ind w:left="421" w:hanging="360"/>
            </w:pPr>
            <w:r w:rsidRPr="00E47B30">
              <w:t xml:space="preserve">(a) The election of directors; </w:t>
            </w:r>
          </w:p>
          <w:p w:rsidRPr="00E47B30" w:rsidR="000459BE" w:rsidP="000459BE" w:rsidRDefault="000459BE" w14:paraId="26B5B465" w14:textId="77777777">
            <w:pPr>
              <w:spacing w:after="240"/>
              <w:ind w:left="421" w:hanging="360"/>
            </w:pPr>
            <w:r w:rsidRPr="00E47B30">
              <w:t xml:space="preserve">(b) Any bonus, profit sharing or other compensation plan, contract or arrangement in which any director, nominee for election as a director, or executive officer of the </w:t>
            </w:r>
            <w:r>
              <w:t>company</w:t>
            </w:r>
            <w:r w:rsidRPr="00E47B30">
              <w:t xml:space="preserve"> will participate; </w:t>
            </w:r>
          </w:p>
          <w:p w:rsidRPr="00E47B30" w:rsidR="000459BE" w:rsidP="000459BE" w:rsidRDefault="000459BE" w14:paraId="23D65AD7" w14:textId="77777777">
            <w:pPr>
              <w:spacing w:after="240"/>
              <w:ind w:left="421" w:hanging="360"/>
            </w:pPr>
            <w:r w:rsidRPr="00E47B30">
              <w:t xml:space="preserve">(c) Any pension or retirement plan in which any such person will participate; or </w:t>
            </w:r>
          </w:p>
          <w:p w:rsidRPr="00E47B30" w:rsidR="000459BE" w:rsidP="000459BE" w:rsidRDefault="000459BE" w14:paraId="20E5B7A5" w14:textId="71679CE7">
            <w:pPr>
              <w:spacing w:after="240"/>
              <w:ind w:left="421" w:hanging="360"/>
            </w:pPr>
            <w:r w:rsidRPr="00E47B30">
              <w:t>(d) The granting or extension to any such person of any options, warrants or rights to purchase any securities, other than warrants or rights issued to security holders as such, on a pro rata basis.</w:t>
            </w:r>
          </w:p>
        </w:tc>
        <w:tc>
          <w:tcPr>
            <w:tcW w:w="931" w:type="pct"/>
          </w:tcPr>
          <w:p w:rsidRPr="00414307" w:rsidR="000459BE" w:rsidP="000459BE" w:rsidRDefault="000459BE" w14:paraId="27C2FB3A" w14:textId="25D507EE">
            <w:pPr>
              <w:spacing w:after="240"/>
            </w:pPr>
            <w:r>
              <w:t xml:space="preserve">An instruction to Item 8 provides that if </w:t>
            </w:r>
            <w:r w:rsidRPr="00414307">
              <w:t xml:space="preserve">an otherwise reportable compensation plan became subject to </w:t>
            </w:r>
            <w:r>
              <w:t>these</w:t>
            </w:r>
            <w:r w:rsidRPr="00414307">
              <w:t xml:space="preserve"> requirements because of an acquisition or merger and, within one year of the acquisition or merger, </w:t>
            </w:r>
            <w:r>
              <w:t>the</w:t>
            </w:r>
            <w:r w:rsidRPr="00414307">
              <w:t xml:space="preserve"> plan was terminated for purposes of prospective eligibility, the </w:t>
            </w:r>
            <w:r>
              <w:t>company</w:t>
            </w:r>
            <w:r w:rsidRPr="00414307">
              <w:t xml:space="preserve"> may furnish a description of its obligation to the designated individuals pursuant to the compensation plan. </w:t>
            </w:r>
            <w:r>
              <w:t>This</w:t>
            </w:r>
            <w:r w:rsidRPr="00414307">
              <w:t xml:space="preserve"> description may be furnished in lieu of a description of the compensation plan in the proxy statement.</w:t>
            </w:r>
          </w:p>
        </w:tc>
        <w:tc>
          <w:tcPr>
            <w:tcW w:w="561" w:type="pct"/>
          </w:tcPr>
          <w:p w:rsidRPr="007E0B55" w:rsidR="000459BE" w:rsidP="000459BE" w:rsidRDefault="000459BE" w14:paraId="7E2CA214" w14:textId="77777777">
            <w:pPr>
              <w:spacing w:after="240"/>
              <w:contextualSpacing/>
              <w:rPr>
                <w:sz w:val="20"/>
              </w:rPr>
            </w:pPr>
          </w:p>
        </w:tc>
        <w:tc>
          <w:tcPr>
            <w:tcW w:w="344" w:type="pct"/>
            <w:vAlign w:val="center"/>
          </w:tcPr>
          <w:p w:rsidRPr="00E47B30" w:rsidR="000459BE" w:rsidP="000459BE" w:rsidRDefault="000459BE" w14:paraId="7A378EEB"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1152DA72" w14:textId="4072C58E">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6C3A1205" w14:textId="77777777">
        <w:trPr>
          <w:cantSplit/>
          <w:jc w:val="center"/>
        </w:trPr>
        <w:tc>
          <w:tcPr>
            <w:tcW w:w="690" w:type="pct"/>
            <w:shd w:val="clear" w:color="auto" w:fill="auto"/>
          </w:tcPr>
          <w:p w:rsidRPr="00E47B30" w:rsidR="000459BE" w:rsidP="000459BE" w:rsidRDefault="000459BE" w14:paraId="7F890A9F" w14:textId="77777777"/>
        </w:tc>
        <w:tc>
          <w:tcPr>
            <w:tcW w:w="523" w:type="pct"/>
            <w:shd w:val="clear" w:color="auto" w:fill="auto"/>
          </w:tcPr>
          <w:p w:rsidR="000459BE" w:rsidP="000459BE" w:rsidRDefault="000459BE" w14:paraId="47696ABA" w14:textId="77777777">
            <w:pPr>
              <w:jc w:val="center"/>
            </w:pPr>
          </w:p>
        </w:tc>
        <w:tc>
          <w:tcPr>
            <w:tcW w:w="1951" w:type="pct"/>
            <w:shd w:val="clear" w:color="auto" w:fill="auto"/>
          </w:tcPr>
          <w:p w:rsidR="000459BE" w:rsidP="000459BE" w:rsidRDefault="000459BE" w14:paraId="073D074F" w14:textId="51C5EFAE">
            <w:pPr>
              <w:spacing w:after="240"/>
            </w:pPr>
            <w:r>
              <w:t xml:space="preserve">Compensation disclosure required by Item 402 is extensive and highly technical. Relatively minor differences in the structure of a compensation program or plan can make material differences in how the compensation is presented. The summaries of Item 402 below are not complete and assume that a complete form check will include review of the </w:t>
            </w:r>
            <w:hyperlink w:history="1" r:id="rId88">
              <w:r w:rsidRPr="009B69F5">
                <w:rPr>
                  <w:rStyle w:val="Hyperlink"/>
                </w:rPr>
                <w:t>full text of Item 402</w:t>
              </w:r>
            </w:hyperlink>
            <w:r>
              <w:t>.</w:t>
            </w:r>
          </w:p>
          <w:p w:rsidRPr="00E47B30" w:rsidR="000459BE" w:rsidP="000459BE" w:rsidRDefault="000459BE" w14:paraId="323029E1" w14:textId="41CAA4F9">
            <w:pPr>
              <w:spacing w:after="240"/>
            </w:pPr>
            <w:r>
              <w:t xml:space="preserve">Goodwin’s </w:t>
            </w:r>
            <w:hyperlink w:history="1" r:id="rId89">
              <w:r w:rsidRPr="00877DC4">
                <w:rPr>
                  <w:rStyle w:val="Hyperlink"/>
                </w:rPr>
                <w:t>Executive Compensation Worksheet</w:t>
              </w:r>
            </w:hyperlink>
            <w:r>
              <w:t xml:space="preserve">, available on the </w:t>
            </w:r>
            <w:hyperlink w:history="1" r:id="rId90">
              <w:r w:rsidRPr="00877DC4">
                <w:rPr>
                  <w:rStyle w:val="Hyperlink"/>
                </w:rPr>
                <w:t>Year-End Tool Kit</w:t>
              </w:r>
            </w:hyperlink>
            <w:r>
              <w:t xml:space="preserve"> website, provides very detailed information on the disclosure requirements of Item 402.  There is a separate edition that covers compensation disclosure requirements for companies that satisfy the eligibility tests for </w:t>
            </w:r>
            <w:hyperlink w:history="1" r:id="rId91">
              <w:r w:rsidRPr="00877DC4">
                <w:rPr>
                  <w:rStyle w:val="Hyperlink"/>
                </w:rPr>
                <w:t>smaller reporting companies and emerging growth companies</w:t>
              </w:r>
            </w:hyperlink>
            <w:r>
              <w:t xml:space="preserve"> under SEC rules.</w:t>
            </w:r>
          </w:p>
        </w:tc>
        <w:tc>
          <w:tcPr>
            <w:tcW w:w="931" w:type="pct"/>
          </w:tcPr>
          <w:p w:rsidR="000459BE" w:rsidP="000459BE" w:rsidRDefault="000459BE" w14:paraId="7CC35B13" w14:textId="77777777">
            <w:pPr>
              <w:spacing w:after="240"/>
            </w:pPr>
          </w:p>
        </w:tc>
        <w:tc>
          <w:tcPr>
            <w:tcW w:w="561" w:type="pct"/>
          </w:tcPr>
          <w:p w:rsidRPr="007E0B55" w:rsidR="000459BE" w:rsidP="000459BE" w:rsidRDefault="000459BE" w14:paraId="6D89ECE6" w14:textId="77777777">
            <w:pPr>
              <w:spacing w:after="240"/>
              <w:contextualSpacing/>
              <w:rPr>
                <w:sz w:val="20"/>
              </w:rPr>
            </w:pPr>
          </w:p>
        </w:tc>
        <w:tc>
          <w:tcPr>
            <w:tcW w:w="344" w:type="pct"/>
            <w:vAlign w:val="center"/>
          </w:tcPr>
          <w:p w:rsidRPr="00E47B30" w:rsidR="000459BE" w:rsidP="000459BE" w:rsidRDefault="000459BE" w14:paraId="5F521D47" w14:textId="77777777">
            <w:pPr>
              <w:spacing w:after="0"/>
              <w:jc w:val="center"/>
              <w:rPr>
                <w:szCs w:val="22"/>
              </w:rPr>
            </w:pPr>
          </w:p>
        </w:tc>
      </w:tr>
      <w:tr w:rsidRPr="00E47B30" w:rsidR="000459BE" w:rsidTr="00E708F1" w14:paraId="29AF3371" w14:textId="77777777">
        <w:trPr>
          <w:cantSplit/>
          <w:jc w:val="center"/>
        </w:trPr>
        <w:tc>
          <w:tcPr>
            <w:tcW w:w="690" w:type="pct"/>
            <w:shd w:val="clear" w:color="auto" w:fill="auto"/>
          </w:tcPr>
          <w:p w:rsidRPr="00E47B30" w:rsidR="000459BE" w:rsidP="000459BE" w:rsidRDefault="000459BE" w14:paraId="4B8B9602" w14:textId="574354FD">
            <w:r>
              <w:t>[General]</w:t>
            </w:r>
          </w:p>
        </w:tc>
        <w:tc>
          <w:tcPr>
            <w:tcW w:w="523" w:type="pct"/>
            <w:shd w:val="clear" w:color="auto" w:fill="auto"/>
          </w:tcPr>
          <w:p w:rsidRPr="00E47B30" w:rsidR="000459BE" w:rsidP="000459BE" w:rsidRDefault="000D00E3" w14:paraId="4506AC35" w14:textId="7D46977B">
            <w:pPr>
              <w:jc w:val="center"/>
            </w:pPr>
            <w:hyperlink w:history="1" w:anchor="p-229.402(a)" r:id="rId92">
              <w:r w:rsidRPr="00863DF3" w:rsidR="000459BE">
                <w:rPr>
                  <w:rStyle w:val="Hyperlink"/>
                </w:rPr>
                <w:t>Item 402(a)</w:t>
              </w:r>
            </w:hyperlink>
          </w:p>
        </w:tc>
        <w:tc>
          <w:tcPr>
            <w:tcW w:w="1951" w:type="pct"/>
            <w:shd w:val="clear" w:color="auto" w:fill="auto"/>
          </w:tcPr>
          <w:p w:rsidRPr="00E47B30" w:rsidR="000459BE" w:rsidP="000459BE" w:rsidRDefault="000459BE" w14:paraId="2C095328" w14:textId="2A59DFC3">
            <w:pPr>
              <w:spacing w:after="240"/>
            </w:pPr>
            <w:r>
              <w:t>Provides description of the types of compensation covered by Item 402 and the persons covered.</w:t>
            </w:r>
          </w:p>
        </w:tc>
        <w:tc>
          <w:tcPr>
            <w:tcW w:w="931" w:type="pct"/>
          </w:tcPr>
          <w:p w:rsidRPr="00414307" w:rsidR="000459BE" w:rsidP="000459BE" w:rsidRDefault="000459BE" w14:paraId="7CC80091" w14:textId="77777777">
            <w:pPr>
              <w:spacing w:after="240"/>
            </w:pPr>
          </w:p>
        </w:tc>
        <w:tc>
          <w:tcPr>
            <w:tcW w:w="561" w:type="pct"/>
          </w:tcPr>
          <w:p w:rsidRPr="007E0B55" w:rsidR="000459BE" w:rsidP="000459BE" w:rsidRDefault="000459BE" w14:paraId="1FCAAF1E" w14:textId="77777777">
            <w:pPr>
              <w:spacing w:after="240"/>
              <w:contextualSpacing/>
              <w:rPr>
                <w:sz w:val="20"/>
              </w:rPr>
            </w:pPr>
          </w:p>
        </w:tc>
        <w:tc>
          <w:tcPr>
            <w:tcW w:w="344" w:type="pct"/>
            <w:vAlign w:val="center"/>
          </w:tcPr>
          <w:p w:rsidRPr="00E47B30" w:rsidR="000459BE" w:rsidP="000459BE" w:rsidRDefault="000459BE" w14:paraId="4E32820B"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3DACCFDD" w14:textId="02B3BAAA">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7576C12D" w14:textId="77777777">
        <w:trPr>
          <w:cantSplit/>
          <w:jc w:val="center"/>
        </w:trPr>
        <w:tc>
          <w:tcPr>
            <w:tcW w:w="690" w:type="pct"/>
            <w:shd w:val="clear" w:color="auto" w:fill="auto"/>
          </w:tcPr>
          <w:p w:rsidR="000459BE" w:rsidP="000459BE" w:rsidRDefault="000459BE" w14:paraId="55E866F5" w14:textId="77777777"/>
        </w:tc>
        <w:tc>
          <w:tcPr>
            <w:tcW w:w="523" w:type="pct"/>
            <w:shd w:val="clear" w:color="auto" w:fill="auto"/>
          </w:tcPr>
          <w:p w:rsidR="000459BE" w:rsidP="000459BE" w:rsidRDefault="000D00E3" w14:paraId="4FC2A031" w14:textId="598A0602">
            <w:pPr>
              <w:jc w:val="center"/>
            </w:pPr>
            <w:hyperlink w:history="1" w:anchor="p-229.402(a)(2)" r:id="rId93">
              <w:r w:rsidRPr="00863DF3" w:rsidR="000459BE">
                <w:rPr>
                  <w:rStyle w:val="Hyperlink"/>
                </w:rPr>
                <w:t>Item 402(a)(2)</w:t>
              </w:r>
            </w:hyperlink>
          </w:p>
        </w:tc>
        <w:tc>
          <w:tcPr>
            <w:tcW w:w="1951" w:type="pct"/>
            <w:shd w:val="clear" w:color="auto" w:fill="auto"/>
          </w:tcPr>
          <w:p w:rsidR="000459BE" w:rsidP="000459BE" w:rsidRDefault="000459BE" w14:paraId="04EFC81B" w14:textId="692AC2A3">
            <w:pPr>
              <w:spacing w:after="240"/>
            </w:pPr>
            <w:r w:rsidRPr="00863DF3">
              <w:rPr>
                <w:b/>
                <w:bCs/>
              </w:rPr>
              <w:t>All compensation covered.</w:t>
            </w:r>
            <w:r>
              <w:rPr>
                <w:b/>
                <w:bCs/>
              </w:rPr>
              <w:t xml:space="preserve"> </w:t>
            </w:r>
            <w:r w:rsidRPr="00863DF3">
              <w:t xml:space="preserve">Item </w:t>
            </w:r>
            <w:r>
              <w:t xml:space="preserve">402 </w:t>
            </w:r>
            <w:r w:rsidRPr="00863DF3">
              <w:t xml:space="preserve">requires clear, concise and understandable disclosure of all plan and non-plan compensation awarded to, earned by, or paid to the named executive officers designated under paragraph (a)(3) of this Item, and directors covered by paragraph (k) of this Item, by any person for all services rendered in all capacities to the </w:t>
            </w:r>
            <w:r>
              <w:t>company</w:t>
            </w:r>
            <w:r w:rsidRPr="00863DF3">
              <w:t xml:space="preserve"> and its subsidiaries, unless otherwise specifically excluded from disclosure in this Item.</w:t>
            </w:r>
          </w:p>
          <w:p w:rsidR="000459BE" w:rsidP="000459BE" w:rsidRDefault="000459BE" w14:paraId="788853CF" w14:textId="0C91A9E4">
            <w:pPr>
              <w:spacing w:after="240"/>
            </w:pPr>
            <w:r w:rsidRPr="00863DF3">
              <w:t xml:space="preserve">All such compensation shall be reported pursuant to this Item, even if also called for by another requirement, including transactions between the </w:t>
            </w:r>
            <w:r>
              <w:t>company</w:t>
            </w:r>
            <w:r w:rsidRPr="00863DF3">
              <w:t xml:space="preserve"> and a third party where a purpose of the transaction is to furnish compensation to any such named executive officer or director. No amount reported as compensation for one fiscal year need be reported in the same manner as compensation for a subsequent fiscal year; amounts reported as compensation for one fiscal year may be required to be reported in a different manner pursuant to this Item.</w:t>
            </w:r>
          </w:p>
        </w:tc>
        <w:tc>
          <w:tcPr>
            <w:tcW w:w="931" w:type="pct"/>
          </w:tcPr>
          <w:p w:rsidRPr="00414307" w:rsidR="000459BE" w:rsidP="000459BE" w:rsidRDefault="000459BE" w14:paraId="21042E80" w14:textId="77777777">
            <w:pPr>
              <w:spacing w:after="240"/>
            </w:pPr>
          </w:p>
        </w:tc>
        <w:tc>
          <w:tcPr>
            <w:tcW w:w="561" w:type="pct"/>
          </w:tcPr>
          <w:p w:rsidRPr="007E0B55" w:rsidR="000459BE" w:rsidP="000459BE" w:rsidRDefault="000459BE" w14:paraId="3878B98B" w14:textId="77777777">
            <w:pPr>
              <w:spacing w:after="240"/>
              <w:contextualSpacing/>
              <w:rPr>
                <w:sz w:val="20"/>
              </w:rPr>
            </w:pPr>
          </w:p>
        </w:tc>
        <w:tc>
          <w:tcPr>
            <w:tcW w:w="344" w:type="pct"/>
            <w:vAlign w:val="center"/>
          </w:tcPr>
          <w:p w:rsidRPr="00E47B30" w:rsidR="000459BE" w:rsidP="000459BE" w:rsidRDefault="000459BE" w14:paraId="7D490A32"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0A72E98F" w14:textId="76191E7D">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6101C43B" w14:textId="77777777">
        <w:trPr>
          <w:cantSplit/>
          <w:jc w:val="center"/>
        </w:trPr>
        <w:tc>
          <w:tcPr>
            <w:tcW w:w="690" w:type="pct"/>
            <w:shd w:val="clear" w:color="auto" w:fill="auto"/>
          </w:tcPr>
          <w:p w:rsidR="000459BE" w:rsidP="000459BE" w:rsidRDefault="000459BE" w14:paraId="78937028" w14:textId="77777777"/>
        </w:tc>
        <w:tc>
          <w:tcPr>
            <w:tcW w:w="523" w:type="pct"/>
            <w:shd w:val="clear" w:color="auto" w:fill="auto"/>
          </w:tcPr>
          <w:p w:rsidR="000459BE" w:rsidP="000459BE" w:rsidRDefault="000D00E3" w14:paraId="4B429542" w14:textId="72F61A74">
            <w:pPr>
              <w:jc w:val="center"/>
            </w:pPr>
            <w:hyperlink w:history="1" w:anchor="p-229.402(a)(2)" r:id="rId94">
              <w:r w:rsidR="000459BE">
                <w:rPr>
                  <w:rStyle w:val="Hyperlink"/>
                </w:rPr>
                <w:t>Item 402(a)(3)</w:t>
              </w:r>
            </w:hyperlink>
          </w:p>
        </w:tc>
        <w:tc>
          <w:tcPr>
            <w:tcW w:w="1951" w:type="pct"/>
            <w:shd w:val="clear" w:color="auto" w:fill="auto"/>
          </w:tcPr>
          <w:p w:rsidR="000459BE" w:rsidP="000459BE" w:rsidRDefault="000459BE" w14:paraId="7EAC20B5" w14:textId="30B556BE">
            <w:pPr>
              <w:spacing w:after="240"/>
            </w:pPr>
            <w:r w:rsidRPr="00863DF3">
              <w:rPr>
                <w:b/>
                <w:bCs/>
              </w:rPr>
              <w:t>Persons covered.</w:t>
            </w:r>
            <w:r>
              <w:t xml:space="preserve"> Disclosure shall be provided pursuant to this Item for each of the following (the “named executive officers”): </w:t>
            </w:r>
          </w:p>
          <w:p w:rsidR="000459BE" w:rsidP="000459BE" w:rsidRDefault="000459BE" w14:paraId="27B8A505" w14:textId="4F73C9A6">
            <w:pPr>
              <w:spacing w:after="240"/>
            </w:pPr>
            <w:r>
              <w:t>(</w:t>
            </w:r>
            <w:proofErr w:type="spellStart"/>
            <w:r>
              <w:t>i</w:t>
            </w:r>
            <w:proofErr w:type="spellEnd"/>
            <w:r>
              <w:t xml:space="preserve">) All individuals serving as the company’s principal executive officer or acting in a similar capacity during the last completed fiscal year (“PEO”), regardless of compensation level; </w:t>
            </w:r>
          </w:p>
          <w:p w:rsidR="000459BE" w:rsidP="000459BE" w:rsidRDefault="000459BE" w14:paraId="0FD9693E" w14:textId="035E8639">
            <w:pPr>
              <w:spacing w:after="240"/>
            </w:pPr>
            <w:r>
              <w:t>(ii) All individuals serving as the company’s principal financial officer or acting in a similar capacity during the last completed fiscal year (“</w:t>
            </w:r>
            <w:proofErr w:type="spellStart"/>
            <w:r>
              <w:t>PFO</w:t>
            </w:r>
            <w:proofErr w:type="spellEnd"/>
            <w:r>
              <w:t xml:space="preserve">”), regardless of compensation level; </w:t>
            </w:r>
          </w:p>
          <w:p w:rsidR="000459BE" w:rsidP="000459BE" w:rsidRDefault="000459BE" w14:paraId="01698381" w14:textId="0EAD9F85">
            <w:pPr>
              <w:spacing w:after="240"/>
            </w:pPr>
            <w:r>
              <w:t xml:space="preserve">(iii) The company’s three most highly compensated executive officers other than the PEO and </w:t>
            </w:r>
            <w:proofErr w:type="spellStart"/>
            <w:r>
              <w:t>PFO</w:t>
            </w:r>
            <w:proofErr w:type="spellEnd"/>
            <w:r>
              <w:t xml:space="preserve"> who were serving as executive officers at the end of the last completed fiscal year; and </w:t>
            </w:r>
          </w:p>
          <w:p w:rsidR="000459BE" w:rsidP="000459BE" w:rsidRDefault="000459BE" w14:paraId="73B572B6" w14:textId="4B107DA8">
            <w:pPr>
              <w:spacing w:after="240"/>
            </w:pPr>
            <w:r>
              <w:t xml:space="preserve">(iv) Up to two additional individuals for whom disclosure would have been provided pursuant to paragraph (a)(3)(iii) of this Item but for the fact that the individual was not serving as an executive officer of the company at the end of the last completed fiscal year. </w:t>
            </w:r>
          </w:p>
          <w:p w:rsidRPr="00863DF3" w:rsidR="000459BE" w:rsidP="000459BE" w:rsidRDefault="000459BE" w14:paraId="4B7D9C7A" w14:textId="5F17113F">
            <w:pPr>
              <w:spacing w:after="240"/>
              <w:rPr>
                <w:sz w:val="18"/>
                <w:szCs w:val="18"/>
              </w:rPr>
            </w:pPr>
            <w:r w:rsidRPr="00863DF3">
              <w:rPr>
                <w:b/>
                <w:bCs/>
                <w:sz w:val="18"/>
                <w:szCs w:val="18"/>
              </w:rPr>
              <w:t xml:space="preserve">Instructions to Item 402(a)(3). </w:t>
            </w:r>
            <w:r w:rsidRPr="00863DF3">
              <w:rPr>
                <w:sz w:val="18"/>
                <w:szCs w:val="18"/>
              </w:rPr>
              <w:t xml:space="preserve">1. Determination of most highly compensated executive officers. The determination as to which executive officers are most highly compensated shall be made by reference to total compensation for the last completed fiscal year (as required to be disclosed pursuant to paragraph (c)(2)(x) of this Item) reduced by the amount required to be disclosed pursuant to paragraph (c)(2)(viii) of this Item, provided, however, that no disclosure need be provided for any executive officer, other than the PEO and </w:t>
            </w:r>
            <w:proofErr w:type="spellStart"/>
            <w:r w:rsidRPr="00863DF3">
              <w:rPr>
                <w:sz w:val="18"/>
                <w:szCs w:val="18"/>
              </w:rPr>
              <w:t>PFO</w:t>
            </w:r>
            <w:proofErr w:type="spellEnd"/>
            <w:r w:rsidRPr="00863DF3">
              <w:rPr>
                <w:sz w:val="18"/>
                <w:szCs w:val="18"/>
              </w:rPr>
              <w:t xml:space="preserve">, whose total compensation, as so reduced, does not exceed $100,000. </w:t>
            </w:r>
          </w:p>
          <w:p w:rsidRPr="00863DF3" w:rsidR="000459BE" w:rsidP="000459BE" w:rsidRDefault="000459BE" w14:paraId="7882005A" w14:textId="77FEFF36">
            <w:pPr>
              <w:spacing w:after="240"/>
              <w:rPr>
                <w:sz w:val="18"/>
                <w:szCs w:val="18"/>
              </w:rPr>
            </w:pPr>
            <w:r w:rsidRPr="00863DF3">
              <w:rPr>
                <w:sz w:val="18"/>
                <w:szCs w:val="18"/>
              </w:rPr>
              <w:t xml:space="preserve">2. Inclusion of executive officer of subsidiary. It may be appropriate for a </w:t>
            </w:r>
            <w:r>
              <w:rPr>
                <w:sz w:val="18"/>
                <w:szCs w:val="18"/>
              </w:rPr>
              <w:t>company</w:t>
            </w:r>
            <w:r w:rsidRPr="00863DF3">
              <w:rPr>
                <w:sz w:val="18"/>
                <w:szCs w:val="18"/>
              </w:rPr>
              <w:t xml:space="preserve"> to include as named executive officers one or more executive officers or other employees of subsidiaries in the disclosure required by this Item. See Rule </w:t>
            </w:r>
            <w:proofErr w:type="spellStart"/>
            <w:r w:rsidRPr="00863DF3">
              <w:rPr>
                <w:sz w:val="18"/>
                <w:szCs w:val="18"/>
              </w:rPr>
              <w:t>3b</w:t>
            </w:r>
            <w:proofErr w:type="spellEnd"/>
            <w:r w:rsidRPr="00863DF3">
              <w:rPr>
                <w:sz w:val="18"/>
                <w:szCs w:val="18"/>
              </w:rPr>
              <w:t xml:space="preserve">-7 under the Exchange Act. </w:t>
            </w:r>
          </w:p>
          <w:p w:rsidR="000459BE" w:rsidP="000459BE" w:rsidRDefault="000459BE" w14:paraId="5464E003" w14:textId="25FC3643">
            <w:pPr>
              <w:spacing w:after="240"/>
            </w:pPr>
            <w:r w:rsidRPr="00863DF3">
              <w:rPr>
                <w:sz w:val="18"/>
                <w:szCs w:val="18"/>
              </w:rPr>
              <w:t xml:space="preserve">3. Exclusion of executive officer due to overseas compensation. It may be appropriate in limited circumstances for a </w:t>
            </w:r>
            <w:r>
              <w:rPr>
                <w:sz w:val="18"/>
                <w:szCs w:val="18"/>
              </w:rPr>
              <w:t>company</w:t>
            </w:r>
            <w:r w:rsidRPr="00863DF3">
              <w:rPr>
                <w:sz w:val="18"/>
                <w:szCs w:val="18"/>
              </w:rPr>
              <w:t xml:space="preserve"> not to include in the disclosure required by this Item an individual, other than its PEO or </w:t>
            </w:r>
            <w:proofErr w:type="spellStart"/>
            <w:r w:rsidRPr="00863DF3">
              <w:rPr>
                <w:sz w:val="18"/>
                <w:szCs w:val="18"/>
              </w:rPr>
              <w:t>PFO</w:t>
            </w:r>
            <w:proofErr w:type="spellEnd"/>
            <w:r w:rsidRPr="00863DF3">
              <w:rPr>
                <w:sz w:val="18"/>
                <w:szCs w:val="18"/>
              </w:rPr>
              <w:t xml:space="preserve">, who is one of the </w:t>
            </w:r>
            <w:r>
              <w:rPr>
                <w:sz w:val="18"/>
                <w:szCs w:val="18"/>
              </w:rPr>
              <w:t>company’</w:t>
            </w:r>
            <w:r w:rsidRPr="00863DF3">
              <w:rPr>
                <w:sz w:val="18"/>
                <w:szCs w:val="18"/>
              </w:rPr>
              <w:t>s most highly compensated executive officers due to the payment of amounts of cash compensation relating to overseas assignments attributed predominantly to such assignments.</w:t>
            </w:r>
          </w:p>
        </w:tc>
        <w:tc>
          <w:tcPr>
            <w:tcW w:w="931" w:type="pct"/>
          </w:tcPr>
          <w:p w:rsidRPr="00414307" w:rsidR="000459BE" w:rsidP="000459BE" w:rsidRDefault="000459BE" w14:paraId="3CF2C787" w14:textId="77777777">
            <w:pPr>
              <w:spacing w:after="240"/>
            </w:pPr>
          </w:p>
        </w:tc>
        <w:tc>
          <w:tcPr>
            <w:tcW w:w="561" w:type="pct"/>
          </w:tcPr>
          <w:p w:rsidRPr="007E0B55" w:rsidR="000459BE" w:rsidP="000459BE" w:rsidRDefault="000459BE" w14:paraId="48DD6A39" w14:textId="77777777">
            <w:pPr>
              <w:spacing w:after="240"/>
              <w:contextualSpacing/>
              <w:rPr>
                <w:sz w:val="20"/>
              </w:rPr>
            </w:pPr>
          </w:p>
        </w:tc>
        <w:tc>
          <w:tcPr>
            <w:tcW w:w="344" w:type="pct"/>
            <w:vAlign w:val="center"/>
          </w:tcPr>
          <w:p w:rsidRPr="00E47B30" w:rsidR="000459BE" w:rsidP="000459BE" w:rsidRDefault="000459BE" w14:paraId="4B2B2DF8"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7140E0EC" w14:textId="528F725D">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3C503FC7" w14:textId="77777777">
        <w:trPr>
          <w:cantSplit/>
          <w:jc w:val="center"/>
        </w:trPr>
        <w:tc>
          <w:tcPr>
            <w:tcW w:w="690" w:type="pct"/>
            <w:shd w:val="clear" w:color="auto" w:fill="auto"/>
          </w:tcPr>
          <w:p w:rsidR="000459BE" w:rsidP="000459BE" w:rsidRDefault="000459BE" w14:paraId="0A8A8971" w14:textId="77777777"/>
        </w:tc>
        <w:tc>
          <w:tcPr>
            <w:tcW w:w="523" w:type="pct"/>
            <w:shd w:val="clear" w:color="auto" w:fill="auto"/>
          </w:tcPr>
          <w:p w:rsidR="000459BE" w:rsidP="000459BE" w:rsidRDefault="000D00E3" w14:paraId="7FC76C05" w14:textId="15D95889">
            <w:pPr>
              <w:jc w:val="center"/>
            </w:pPr>
            <w:hyperlink w:history="1" w:anchor="p-229.402(a)(4)" r:id="rId95">
              <w:r w:rsidRPr="009B69F5" w:rsidR="000459BE">
                <w:rPr>
                  <w:rStyle w:val="Hyperlink"/>
                </w:rPr>
                <w:t>Item 402(a)4)</w:t>
              </w:r>
            </w:hyperlink>
          </w:p>
        </w:tc>
        <w:tc>
          <w:tcPr>
            <w:tcW w:w="1951" w:type="pct"/>
            <w:shd w:val="clear" w:color="auto" w:fill="auto"/>
          </w:tcPr>
          <w:p w:rsidR="000459BE" w:rsidP="000459BE" w:rsidRDefault="000459BE" w14:paraId="0D69095D" w14:textId="4C17839F">
            <w:pPr>
              <w:spacing w:after="240"/>
            </w:pPr>
            <w:r w:rsidRPr="009B69F5">
              <w:rPr>
                <w:b/>
                <w:bCs/>
              </w:rPr>
              <w:t>Information for full fiscal year.</w:t>
            </w:r>
            <w:r>
              <w:t xml:space="preserve"> </w:t>
            </w:r>
            <w:r w:rsidRPr="009B69F5">
              <w:t xml:space="preserve">If the PEO or </w:t>
            </w:r>
            <w:proofErr w:type="spellStart"/>
            <w:r w:rsidRPr="009B69F5">
              <w:t>PFO</w:t>
            </w:r>
            <w:proofErr w:type="spellEnd"/>
            <w:r w:rsidRPr="009B69F5">
              <w:t xml:space="preserve"> served in that capacity during any part of a fiscal year with respect to which information is required, information should be provided as to all of his or her compensation for the full fiscal year. </w:t>
            </w:r>
          </w:p>
          <w:p w:rsidR="000459BE" w:rsidP="000459BE" w:rsidRDefault="000459BE" w14:paraId="7944EB14" w14:textId="77777777">
            <w:pPr>
              <w:spacing w:after="240"/>
            </w:pPr>
            <w:r w:rsidRPr="009B69F5">
              <w:t xml:space="preserve">If a named executive officer (other than the PEO or </w:t>
            </w:r>
            <w:proofErr w:type="spellStart"/>
            <w:r w:rsidRPr="009B69F5">
              <w:t>PFO</w:t>
            </w:r>
            <w:proofErr w:type="spellEnd"/>
            <w:r w:rsidRPr="009B69F5">
              <w:t xml:space="preserve">) served as an executive officer of the </w:t>
            </w:r>
            <w:r>
              <w:t>company</w:t>
            </w:r>
            <w:r w:rsidRPr="009B69F5">
              <w:t xml:space="preserve"> (whether or not in the same position) during any part of the fiscal year with respect to which information is required, information shall be provided as to all compensation of that individual for the full fiscal year.</w:t>
            </w:r>
          </w:p>
          <w:p w:rsidRPr="009B69F5" w:rsidR="000459BE" w:rsidP="000459BE" w:rsidRDefault="000459BE" w14:paraId="2087EFF5" w14:textId="10484663">
            <w:pPr>
              <w:spacing w:after="240"/>
            </w:pPr>
            <w:r>
              <w:t>Under certain circumstances, disclosure may be required for up to two additional persons.</w:t>
            </w:r>
          </w:p>
        </w:tc>
        <w:tc>
          <w:tcPr>
            <w:tcW w:w="931" w:type="pct"/>
          </w:tcPr>
          <w:p w:rsidRPr="009B69F5" w:rsidR="000459BE" w:rsidP="000459BE" w:rsidRDefault="000459BE" w14:paraId="1A0D5276" w14:textId="77777777">
            <w:pPr>
              <w:spacing w:after="240"/>
            </w:pPr>
          </w:p>
        </w:tc>
        <w:tc>
          <w:tcPr>
            <w:tcW w:w="561" w:type="pct"/>
          </w:tcPr>
          <w:p w:rsidRPr="007E0B55" w:rsidR="000459BE" w:rsidP="000459BE" w:rsidRDefault="000459BE" w14:paraId="0C214526" w14:textId="77777777">
            <w:pPr>
              <w:spacing w:after="240"/>
              <w:contextualSpacing/>
              <w:rPr>
                <w:sz w:val="20"/>
              </w:rPr>
            </w:pPr>
          </w:p>
        </w:tc>
        <w:tc>
          <w:tcPr>
            <w:tcW w:w="344" w:type="pct"/>
            <w:vAlign w:val="center"/>
          </w:tcPr>
          <w:p w:rsidRPr="00E47B30" w:rsidR="000459BE" w:rsidP="000459BE" w:rsidRDefault="000459BE" w14:paraId="70596753"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736672D5" w14:textId="30DDC554">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29C57129" w14:textId="77777777">
        <w:trPr>
          <w:cantSplit/>
          <w:jc w:val="center"/>
        </w:trPr>
        <w:tc>
          <w:tcPr>
            <w:tcW w:w="690" w:type="pct"/>
            <w:shd w:val="clear" w:color="auto" w:fill="auto"/>
          </w:tcPr>
          <w:p w:rsidR="000459BE" w:rsidP="000459BE" w:rsidRDefault="000459BE" w14:paraId="39D08A46" w14:textId="15666417">
            <w:r>
              <w:t>[Compensation Discussion and Analysis]</w:t>
            </w:r>
          </w:p>
        </w:tc>
        <w:tc>
          <w:tcPr>
            <w:tcW w:w="523" w:type="pct"/>
            <w:shd w:val="clear" w:color="auto" w:fill="auto"/>
          </w:tcPr>
          <w:p w:rsidR="000459BE" w:rsidP="000459BE" w:rsidRDefault="000D00E3" w14:paraId="10558376" w14:textId="54011C51">
            <w:pPr>
              <w:jc w:val="center"/>
            </w:pPr>
            <w:hyperlink w:history="1" w:anchor="p-229.402(b)" r:id="rId96">
              <w:r w:rsidRPr="009B69F5" w:rsidR="000459BE">
                <w:rPr>
                  <w:rStyle w:val="Hyperlink"/>
                </w:rPr>
                <w:t>Item 402(b)</w:t>
              </w:r>
            </w:hyperlink>
          </w:p>
        </w:tc>
        <w:tc>
          <w:tcPr>
            <w:tcW w:w="1951" w:type="pct"/>
            <w:shd w:val="clear" w:color="auto" w:fill="auto"/>
          </w:tcPr>
          <w:p w:rsidR="000459BE" w:rsidP="000459BE" w:rsidRDefault="000459BE" w14:paraId="3BA10C27" w14:textId="25D99626">
            <w:pPr>
              <w:spacing w:after="240"/>
            </w:pPr>
            <w:r>
              <w:t>Requires a narrative description of all material elements of a company’s compensation program for its named executive officers.</w:t>
            </w:r>
          </w:p>
        </w:tc>
        <w:tc>
          <w:tcPr>
            <w:tcW w:w="931" w:type="pct"/>
          </w:tcPr>
          <w:p w:rsidRPr="00414307" w:rsidR="000459BE" w:rsidP="000459BE" w:rsidRDefault="000459BE" w14:paraId="2C5BF62E" w14:textId="77777777">
            <w:pPr>
              <w:spacing w:after="240"/>
            </w:pPr>
          </w:p>
        </w:tc>
        <w:tc>
          <w:tcPr>
            <w:tcW w:w="561" w:type="pct"/>
          </w:tcPr>
          <w:p w:rsidRPr="007E0B55" w:rsidR="000459BE" w:rsidP="000459BE" w:rsidRDefault="000459BE" w14:paraId="5F001D86" w14:textId="77777777">
            <w:pPr>
              <w:spacing w:after="240"/>
              <w:contextualSpacing/>
              <w:rPr>
                <w:sz w:val="20"/>
              </w:rPr>
            </w:pPr>
          </w:p>
        </w:tc>
        <w:tc>
          <w:tcPr>
            <w:tcW w:w="344" w:type="pct"/>
            <w:vAlign w:val="center"/>
          </w:tcPr>
          <w:p w:rsidRPr="00E47B30" w:rsidR="000459BE" w:rsidP="000459BE" w:rsidRDefault="000459BE" w14:paraId="453B57B5"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22797D37" w14:textId="10A0A60E">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6C8A6B86" w14:textId="77777777">
        <w:trPr>
          <w:cantSplit/>
          <w:jc w:val="center"/>
        </w:trPr>
        <w:tc>
          <w:tcPr>
            <w:tcW w:w="690" w:type="pct"/>
            <w:shd w:val="clear" w:color="auto" w:fill="auto"/>
          </w:tcPr>
          <w:p w:rsidR="000459BE" w:rsidP="000459BE" w:rsidRDefault="000459BE" w14:paraId="6DCC0E2D" w14:textId="1FB0071A">
            <w:r>
              <w:t>[Compensation Tables]</w:t>
            </w:r>
          </w:p>
        </w:tc>
        <w:tc>
          <w:tcPr>
            <w:tcW w:w="523" w:type="pct"/>
            <w:shd w:val="clear" w:color="auto" w:fill="auto"/>
          </w:tcPr>
          <w:p w:rsidR="000459BE" w:rsidP="000459BE" w:rsidRDefault="000D00E3" w14:paraId="4848B8D4" w14:textId="1066CAB1">
            <w:pPr>
              <w:jc w:val="center"/>
            </w:pPr>
            <w:hyperlink w:history="1" w:anchor="p-229.402(c)" r:id="rId97">
              <w:r w:rsidRPr="009B69F5" w:rsidR="000459BE">
                <w:rPr>
                  <w:rStyle w:val="Hyperlink"/>
                </w:rPr>
                <w:t>Items 402(c)</w:t>
              </w:r>
            </w:hyperlink>
            <w:r w:rsidR="000459BE">
              <w:t xml:space="preserve"> through Item 402(k)</w:t>
            </w:r>
          </w:p>
        </w:tc>
        <w:tc>
          <w:tcPr>
            <w:tcW w:w="1951" w:type="pct"/>
            <w:shd w:val="clear" w:color="auto" w:fill="auto"/>
          </w:tcPr>
          <w:p w:rsidR="000459BE" w:rsidP="000459BE" w:rsidRDefault="000459BE" w14:paraId="0D89C24F" w14:textId="77777777">
            <w:pPr>
              <w:spacing w:after="240"/>
            </w:pPr>
            <w:r>
              <w:t>Requires detailed compensation tables for executive officer and director compensation.</w:t>
            </w:r>
          </w:p>
          <w:p w:rsidR="000459BE" w:rsidP="000459BE" w:rsidRDefault="000459BE" w14:paraId="28E766D2" w14:textId="2E1C0B97">
            <w:pPr>
              <w:spacing w:after="240"/>
            </w:pPr>
            <w:r>
              <w:t>SRCs and EGCs may elect to provide scaled disclosure under Items 402(l) through Item 402(r).</w:t>
            </w:r>
          </w:p>
        </w:tc>
        <w:tc>
          <w:tcPr>
            <w:tcW w:w="931" w:type="pct"/>
          </w:tcPr>
          <w:p w:rsidRPr="00414307" w:rsidR="000459BE" w:rsidP="000459BE" w:rsidRDefault="000459BE" w14:paraId="50605CE8" w14:textId="73643B4A">
            <w:pPr>
              <w:spacing w:after="240"/>
            </w:pPr>
            <w:r>
              <w:t xml:space="preserve">See the Goodwin 2021-2022 Year-End Toolkit’s </w:t>
            </w:r>
            <w:hyperlink w:history="1" r:id="rId98">
              <w:r>
                <w:rPr>
                  <w:rStyle w:val="Hyperlink"/>
                </w:rPr>
                <w:t>E</w:t>
              </w:r>
              <w:r w:rsidRPr="002B64EE">
                <w:rPr>
                  <w:rStyle w:val="Hyperlink"/>
                </w:rPr>
                <w:t xml:space="preserve">xecutive </w:t>
              </w:r>
              <w:r>
                <w:rPr>
                  <w:rStyle w:val="Hyperlink"/>
                </w:rPr>
                <w:t>C</w:t>
              </w:r>
              <w:r w:rsidRPr="002B64EE">
                <w:rPr>
                  <w:rStyle w:val="Hyperlink"/>
                </w:rPr>
                <w:t xml:space="preserve">ompensation </w:t>
              </w:r>
              <w:r>
                <w:rPr>
                  <w:rStyle w:val="Hyperlink"/>
                </w:rPr>
                <w:t>W</w:t>
              </w:r>
              <w:r w:rsidRPr="002B64EE">
                <w:rPr>
                  <w:rStyle w:val="Hyperlink"/>
                </w:rPr>
                <w:t>orksheet</w:t>
              </w:r>
            </w:hyperlink>
            <w:r>
              <w:t xml:space="preserve"> for more information on completing the tables.</w:t>
            </w:r>
          </w:p>
        </w:tc>
        <w:tc>
          <w:tcPr>
            <w:tcW w:w="561" w:type="pct"/>
          </w:tcPr>
          <w:p w:rsidRPr="007E0B55" w:rsidR="000459BE" w:rsidP="000459BE" w:rsidRDefault="000459BE" w14:paraId="1BD90939" w14:textId="77777777">
            <w:pPr>
              <w:spacing w:after="240"/>
              <w:contextualSpacing/>
              <w:rPr>
                <w:sz w:val="20"/>
              </w:rPr>
            </w:pPr>
          </w:p>
        </w:tc>
        <w:tc>
          <w:tcPr>
            <w:tcW w:w="344" w:type="pct"/>
            <w:vAlign w:val="center"/>
          </w:tcPr>
          <w:p w:rsidRPr="00E47B30" w:rsidR="000459BE" w:rsidP="000459BE" w:rsidRDefault="000459BE" w14:paraId="7820E012"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70439A7C" w14:textId="204104CF">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3C71C5AF" w14:textId="77777777">
        <w:trPr>
          <w:cantSplit/>
          <w:jc w:val="center"/>
        </w:trPr>
        <w:tc>
          <w:tcPr>
            <w:tcW w:w="690" w:type="pct"/>
            <w:shd w:val="clear" w:color="auto" w:fill="auto"/>
          </w:tcPr>
          <w:p w:rsidRPr="00E47B30" w:rsidR="000459BE" w:rsidP="000459BE" w:rsidRDefault="000459BE" w14:paraId="5CBF0073" w14:textId="6F0B0853"/>
        </w:tc>
        <w:tc>
          <w:tcPr>
            <w:tcW w:w="523" w:type="pct"/>
            <w:shd w:val="clear" w:color="auto" w:fill="auto"/>
          </w:tcPr>
          <w:p w:rsidRPr="00E47B30" w:rsidR="000459BE" w:rsidP="000459BE" w:rsidRDefault="000459BE" w14:paraId="2681214F" w14:textId="5643141A">
            <w:pPr>
              <w:jc w:val="center"/>
            </w:pPr>
            <w:r w:rsidRPr="00E47B30">
              <w:t xml:space="preserve">Item </w:t>
            </w:r>
            <w:hyperlink w:history="1" w:anchor="p-229.402(s)" r:id="rId99">
              <w:r w:rsidRPr="00E47B30">
                <w:rPr>
                  <w:rStyle w:val="Hyperlink"/>
                </w:rPr>
                <w:t>402(s)</w:t>
              </w:r>
            </w:hyperlink>
          </w:p>
        </w:tc>
        <w:tc>
          <w:tcPr>
            <w:tcW w:w="1951" w:type="pct"/>
            <w:shd w:val="clear" w:color="auto" w:fill="auto"/>
          </w:tcPr>
          <w:p w:rsidRPr="00E47B30" w:rsidR="000459BE" w:rsidP="000459BE" w:rsidRDefault="000459BE" w14:paraId="42E78BE5" w14:textId="5FCE3986">
            <w:pPr>
              <w:spacing w:after="240"/>
            </w:pPr>
            <w:r w:rsidRPr="00E47B30">
              <w:t>SEC rules require narrative disclosure about the company</w:t>
            </w:r>
            <w:r>
              <w:t>’</w:t>
            </w:r>
            <w:r w:rsidRPr="00E47B30">
              <w:t xml:space="preserve">s compensation policies and practices related to risk management for </w:t>
            </w:r>
            <w:r w:rsidRPr="00E47B30">
              <w:rPr>
                <w:u w:val="single"/>
              </w:rPr>
              <w:t>all</w:t>
            </w:r>
            <w:r w:rsidRPr="00E47B30">
              <w:t xml:space="preserve"> employees (not just executive officers) if the company</w:t>
            </w:r>
            <w:r>
              <w:t>’</w:t>
            </w:r>
            <w:r w:rsidRPr="00E47B30">
              <w:t>s compensation policies and practices create risks that are reasonably likely to have a material adverse effect on the company.</w:t>
            </w:r>
          </w:p>
        </w:tc>
        <w:tc>
          <w:tcPr>
            <w:tcW w:w="931" w:type="pct"/>
          </w:tcPr>
          <w:p w:rsidRPr="00414307" w:rsidR="000459BE" w:rsidP="000459BE" w:rsidRDefault="000459BE" w14:paraId="47EEB2DF" w14:textId="77777777">
            <w:pPr>
              <w:spacing w:after="240"/>
            </w:pPr>
          </w:p>
        </w:tc>
        <w:tc>
          <w:tcPr>
            <w:tcW w:w="561" w:type="pct"/>
          </w:tcPr>
          <w:p w:rsidRPr="007E0B55" w:rsidR="000459BE" w:rsidP="000459BE" w:rsidRDefault="000459BE" w14:paraId="2B50F752" w14:textId="77777777">
            <w:pPr>
              <w:spacing w:after="240"/>
              <w:contextualSpacing/>
              <w:rPr>
                <w:sz w:val="20"/>
              </w:rPr>
            </w:pPr>
          </w:p>
        </w:tc>
        <w:tc>
          <w:tcPr>
            <w:tcW w:w="344" w:type="pct"/>
            <w:vAlign w:val="center"/>
          </w:tcPr>
          <w:p w:rsidRPr="00E47B30" w:rsidR="000459BE" w:rsidP="000459BE" w:rsidRDefault="000459BE" w14:paraId="436B4CC5"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5C2CC440" w14:textId="066D096C">
            <w:pPr>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9B69F5" w14:paraId="3CD15F39" w14:textId="77777777">
        <w:trPr>
          <w:cantSplit/>
          <w:jc w:val="center"/>
        </w:trPr>
        <w:tc>
          <w:tcPr>
            <w:tcW w:w="5000" w:type="pct"/>
            <w:gridSpan w:val="6"/>
            <w:shd w:val="clear" w:color="auto" w:fill="auto"/>
          </w:tcPr>
          <w:p w:rsidRPr="00E47B30" w:rsidR="000459BE" w:rsidP="000459BE" w:rsidRDefault="000459BE" w14:paraId="5A424EAE" w14:textId="28346183">
            <w:pPr>
              <w:spacing w:after="0"/>
              <w:rPr>
                <w:szCs w:val="22"/>
              </w:rPr>
            </w:pPr>
            <w:r>
              <w:rPr>
                <w:szCs w:val="22"/>
              </w:rPr>
              <w:lastRenderedPageBreak/>
              <w:t>Item 402(t), which applies to golden parachute compensation, is not typically required in a proxy statement in connection with an annual meeting at which security holders will vote only on election of directors, ratification of the auditor and approval of say-on-pay and/or say-on-frequency resolutions.</w:t>
            </w:r>
          </w:p>
        </w:tc>
      </w:tr>
      <w:tr w:rsidRPr="00E47B30" w:rsidR="000459BE" w:rsidTr="00E708F1" w14:paraId="38137C8D" w14:textId="77777777">
        <w:trPr>
          <w:cantSplit/>
          <w:jc w:val="center"/>
        </w:trPr>
        <w:tc>
          <w:tcPr>
            <w:tcW w:w="690" w:type="pct"/>
            <w:shd w:val="clear" w:color="auto" w:fill="auto"/>
          </w:tcPr>
          <w:p w:rsidRPr="00E47B30" w:rsidR="000459BE" w:rsidP="000459BE" w:rsidRDefault="000459BE" w14:paraId="73B99CC5" w14:textId="61896596">
            <w:pPr>
              <w:rPr>
                <w:color w:val="FF0000"/>
              </w:rPr>
            </w:pPr>
            <w:r>
              <w:t>[</w:t>
            </w:r>
            <w:r w:rsidRPr="00E47B30">
              <w:t>CEO Pay Ratio Disclosure</w:t>
            </w:r>
            <w:r w:rsidRPr="006E04F1">
              <w:t>]</w:t>
            </w:r>
          </w:p>
        </w:tc>
        <w:tc>
          <w:tcPr>
            <w:tcW w:w="523" w:type="pct"/>
            <w:shd w:val="clear" w:color="auto" w:fill="auto"/>
          </w:tcPr>
          <w:p w:rsidRPr="00E47B30" w:rsidR="000459BE" w:rsidP="000459BE" w:rsidRDefault="000459BE" w14:paraId="32C0155F" w14:textId="43697FDC">
            <w:pPr>
              <w:jc w:val="center"/>
            </w:pPr>
            <w:r w:rsidRPr="00E47B30">
              <w:t xml:space="preserve">Item </w:t>
            </w:r>
            <w:hyperlink w:history="1" w:anchor="p-229.402(u)" r:id="rId100">
              <w:r w:rsidRPr="00E47B30">
                <w:rPr>
                  <w:rStyle w:val="Hyperlink"/>
                </w:rPr>
                <w:t>402(u)</w:t>
              </w:r>
            </w:hyperlink>
          </w:p>
        </w:tc>
        <w:tc>
          <w:tcPr>
            <w:tcW w:w="1951" w:type="pct"/>
            <w:shd w:val="clear" w:color="auto" w:fill="auto"/>
          </w:tcPr>
          <w:p w:rsidRPr="00526783" w:rsidR="000459BE" w:rsidP="000459BE" w:rsidRDefault="000459BE" w14:paraId="19DD13F2" w14:textId="68B6E776">
            <w:pPr>
              <w:spacing w:after="240"/>
              <w:rPr>
                <w:lang w:val="en"/>
              </w:rPr>
            </w:pPr>
            <w:r w:rsidRPr="00E47B30">
              <w:rPr>
                <w:lang w:val="en"/>
              </w:rPr>
              <w:t>Disclose the ratio between the median annual total compensation for all employees of the company (excluding the CEO) and the annual total compensation of the CEO (or equivalent position) for the last completed fiscal year.</w:t>
            </w:r>
          </w:p>
        </w:tc>
        <w:tc>
          <w:tcPr>
            <w:tcW w:w="931" w:type="pct"/>
          </w:tcPr>
          <w:p w:rsidR="000459BE" w:rsidP="000459BE" w:rsidRDefault="000D00E3" w14:paraId="4AD2CF4B" w14:textId="1467504F">
            <w:hyperlink w:history="1" r:id="rId101">
              <w:r w:rsidRPr="00414307" w:rsidR="000459BE">
                <w:rPr>
                  <w:rStyle w:val="Hyperlink"/>
                </w:rPr>
                <w:t>SEC final rules release</w:t>
              </w:r>
            </w:hyperlink>
          </w:p>
          <w:p w:rsidRPr="00414307" w:rsidR="000459BE" w:rsidP="000459BE" w:rsidRDefault="000459BE" w14:paraId="5ABB8FB0" w14:textId="53C1BF40">
            <w:pPr>
              <w:rPr>
                <w:lang w:val="en"/>
              </w:rPr>
            </w:pPr>
            <w:r w:rsidRPr="00414307">
              <w:rPr>
                <w:lang w:val="en"/>
              </w:rPr>
              <w:t>SEC guidance:</w:t>
            </w:r>
          </w:p>
          <w:p w:rsidRPr="00414307" w:rsidR="000459BE" w:rsidP="000459BE" w:rsidRDefault="000D00E3" w14:paraId="68844401" w14:textId="284AD969">
            <w:pPr>
              <w:numPr>
                <w:ilvl w:val="0"/>
                <w:numId w:val="23"/>
              </w:numPr>
              <w:spacing w:after="240"/>
              <w:ind w:left="361" w:hanging="180"/>
              <w:rPr>
                <w:lang w:val="en"/>
              </w:rPr>
            </w:pPr>
            <w:hyperlink w:history="1" r:id="rId102">
              <w:r w:rsidR="000459BE">
                <w:rPr>
                  <w:rStyle w:val="Hyperlink"/>
                  <w:lang w:val="en"/>
                </w:rPr>
                <w:t>Commission</w:t>
              </w:r>
              <w:r w:rsidRPr="00414307" w:rsidR="000459BE">
                <w:rPr>
                  <w:rStyle w:val="Hyperlink"/>
                  <w:lang w:val="en"/>
                </w:rPr>
                <w:t xml:space="preserve"> Guidance on Pay Ratio Disclosure</w:t>
              </w:r>
            </w:hyperlink>
          </w:p>
          <w:p w:rsidRPr="00414307" w:rsidR="000459BE" w:rsidP="000459BE" w:rsidRDefault="000D00E3" w14:paraId="3531C357" w14:textId="77777777">
            <w:pPr>
              <w:numPr>
                <w:ilvl w:val="0"/>
                <w:numId w:val="23"/>
              </w:numPr>
              <w:spacing w:after="240"/>
              <w:ind w:left="361" w:hanging="180"/>
              <w:rPr>
                <w:lang w:val="en"/>
              </w:rPr>
            </w:pPr>
            <w:hyperlink w:history="1" r:id="rId103">
              <w:r w:rsidRPr="00414307" w:rsidR="000459BE">
                <w:rPr>
                  <w:rStyle w:val="Hyperlink"/>
                  <w:lang w:val="en"/>
                </w:rPr>
                <w:t>Division of Corporation Finance Guidance on Calculation of Pay Ratio Disclosure</w:t>
              </w:r>
            </w:hyperlink>
          </w:p>
          <w:p w:rsidRPr="00414307" w:rsidR="000459BE" w:rsidP="000459BE" w:rsidRDefault="000D00E3" w14:paraId="511FA670" w14:textId="4ED80BE5">
            <w:pPr>
              <w:numPr>
                <w:ilvl w:val="0"/>
                <w:numId w:val="23"/>
              </w:numPr>
              <w:spacing w:after="240"/>
              <w:ind w:left="361" w:hanging="180"/>
              <w:rPr>
                <w:lang w:val="en"/>
              </w:rPr>
            </w:pPr>
            <w:hyperlink w:history="1" w:anchor="128c.01" r:id="rId104">
              <w:r w:rsidRPr="00414307" w:rsidR="000459BE">
                <w:rPr>
                  <w:rStyle w:val="Hyperlink"/>
                  <w:lang w:val="en"/>
                </w:rPr>
                <w:t>Compliance and Disclosure Interpretations</w:t>
              </w:r>
            </w:hyperlink>
          </w:p>
          <w:p w:rsidR="000459BE" w:rsidP="000459BE" w:rsidRDefault="000459BE" w14:paraId="354420BB" w14:textId="77777777">
            <w:r w:rsidRPr="00414307">
              <w:t>Goodwin alerts</w:t>
            </w:r>
            <w:r>
              <w:t>:</w:t>
            </w:r>
          </w:p>
          <w:p w:rsidR="000459BE" w:rsidP="000459BE" w:rsidRDefault="000D00E3" w14:paraId="392EF017" w14:textId="7EE3FB59">
            <w:pPr>
              <w:spacing w:after="240"/>
            </w:pPr>
            <w:hyperlink w:history="1" r:id="rId105">
              <w:r w:rsidRPr="00414307" w:rsidR="000459BE">
                <w:rPr>
                  <w:rStyle w:val="Hyperlink"/>
                </w:rPr>
                <w:t>SEC Adopts Final CEO Pay Ratio Disclosure Rule</w:t>
              </w:r>
            </w:hyperlink>
          </w:p>
          <w:p w:rsidRPr="00526783" w:rsidR="000459BE" w:rsidP="000459BE" w:rsidRDefault="000D00E3" w14:paraId="5152E1B0" w14:textId="50D3BDC0">
            <w:pPr>
              <w:spacing w:after="240"/>
            </w:pPr>
            <w:hyperlink w:history="1" r:id="rId106">
              <w:r w:rsidRPr="00414307" w:rsidR="000459BE">
                <w:rPr>
                  <w:rStyle w:val="Hyperlink"/>
                </w:rPr>
                <w:t>Planning for the Approaching CEO Pay Ratio Disclosure Requirement</w:t>
              </w:r>
            </w:hyperlink>
          </w:p>
        </w:tc>
        <w:tc>
          <w:tcPr>
            <w:tcW w:w="561" w:type="pct"/>
          </w:tcPr>
          <w:p w:rsidRPr="007E0B55" w:rsidR="000459BE" w:rsidP="000459BE" w:rsidRDefault="000459BE" w14:paraId="73A8EE4F" w14:textId="77777777">
            <w:pPr>
              <w:spacing w:after="240"/>
              <w:contextualSpacing/>
              <w:rPr>
                <w:sz w:val="20"/>
                <w:lang w:val="en"/>
              </w:rPr>
            </w:pPr>
          </w:p>
        </w:tc>
        <w:tc>
          <w:tcPr>
            <w:tcW w:w="344" w:type="pct"/>
            <w:vAlign w:val="center"/>
          </w:tcPr>
          <w:p w:rsidRPr="00E47B30" w:rsidR="000459BE" w:rsidP="000459BE" w:rsidRDefault="000459BE" w14:paraId="200F29BC"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32CB3094" w14:textId="00C0DF4D">
            <w:pPr>
              <w:spacing w:after="0"/>
              <w:jc w:val="center"/>
              <w:rPr>
                <w:lang w:val="en"/>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719E3490" w14:textId="77777777">
        <w:trPr>
          <w:cantSplit/>
          <w:jc w:val="center"/>
        </w:trPr>
        <w:tc>
          <w:tcPr>
            <w:tcW w:w="690" w:type="pct"/>
            <w:shd w:val="clear" w:color="auto" w:fill="auto"/>
          </w:tcPr>
          <w:p w:rsidRPr="00E47B30" w:rsidR="000459BE" w:rsidP="000459BE" w:rsidRDefault="000459BE" w14:paraId="566D5702" w14:textId="17F2DEDD">
            <w:r>
              <w:lastRenderedPageBreak/>
              <w:t>[</w:t>
            </w:r>
            <w:r w:rsidRPr="00E47B30">
              <w:t>Compensation Committee Interlocks and Insider Participation</w:t>
            </w:r>
            <w:r>
              <w:t>]</w:t>
            </w:r>
          </w:p>
        </w:tc>
        <w:tc>
          <w:tcPr>
            <w:tcW w:w="523" w:type="pct"/>
            <w:shd w:val="clear" w:color="auto" w:fill="auto"/>
          </w:tcPr>
          <w:p w:rsidRPr="00E47B30" w:rsidR="000459BE" w:rsidP="000459BE" w:rsidRDefault="000459BE" w14:paraId="3BAFD7BF" w14:textId="415B004D">
            <w:pPr>
              <w:jc w:val="center"/>
            </w:pPr>
            <w:r w:rsidRPr="00E47B30">
              <w:t xml:space="preserve">Item </w:t>
            </w:r>
            <w:hyperlink w:history="1" w:anchor="p-229.407(e)(4)" r:id="rId107">
              <w:r w:rsidRPr="00E47B30">
                <w:rPr>
                  <w:rStyle w:val="Hyperlink"/>
                </w:rPr>
                <w:t>407(e)(4)</w:t>
              </w:r>
            </w:hyperlink>
          </w:p>
        </w:tc>
        <w:tc>
          <w:tcPr>
            <w:tcW w:w="1951" w:type="pct"/>
            <w:shd w:val="clear" w:color="auto" w:fill="auto"/>
          </w:tcPr>
          <w:p w:rsidRPr="00526783" w:rsidR="000459BE" w:rsidP="000459BE" w:rsidRDefault="000459BE" w14:paraId="63F48311" w14:textId="5F36CB18">
            <w:pPr>
              <w:spacing w:after="240"/>
              <w:rPr>
                <w:b/>
                <w:bCs/>
              </w:rPr>
            </w:pPr>
            <w:r w:rsidRPr="00526783">
              <w:rPr>
                <w:b/>
                <w:bCs/>
              </w:rPr>
              <w:t xml:space="preserve">This section must appear under the caption </w:t>
            </w:r>
            <w:r>
              <w:rPr>
                <w:b/>
                <w:bCs/>
              </w:rPr>
              <w:t>“</w:t>
            </w:r>
            <w:r w:rsidRPr="00526783">
              <w:rPr>
                <w:b/>
                <w:bCs/>
              </w:rPr>
              <w:t>Compensation Committee Interlocks and Insider Participation</w:t>
            </w:r>
            <w:r>
              <w:rPr>
                <w:b/>
                <w:bCs/>
              </w:rPr>
              <w:t>”</w:t>
            </w:r>
          </w:p>
          <w:p w:rsidRPr="00E47B30" w:rsidR="000459BE" w:rsidP="000459BE" w:rsidRDefault="000459BE" w14:paraId="76950773" w14:textId="59E0D1AF">
            <w:pPr>
              <w:spacing w:after="240"/>
            </w:pPr>
            <w:r w:rsidRPr="00E47B30">
              <w:t>Identify each person who served as a member of the company</w:t>
            </w:r>
            <w:r>
              <w:t>’</w:t>
            </w:r>
            <w:r w:rsidRPr="00E47B30">
              <w:t>s compensation committee during the last fiscal year and provide specified information concerning insider status and/or specified relationships and interlocks.</w:t>
            </w:r>
          </w:p>
          <w:p w:rsidRPr="00E47B30" w:rsidR="000459BE" w:rsidP="000459BE" w:rsidRDefault="000459BE" w14:paraId="490400A0" w14:textId="77777777">
            <w:pPr>
              <w:spacing w:after="240"/>
            </w:pPr>
            <w:r w:rsidRPr="00E47B30">
              <w:t>If the company has no compensation or similar committee, identify each current employee and current or former officer who participated in board deliberations concerning executive officer compensation.</w:t>
            </w:r>
          </w:p>
        </w:tc>
        <w:tc>
          <w:tcPr>
            <w:tcW w:w="931" w:type="pct"/>
          </w:tcPr>
          <w:p w:rsidRPr="00414307" w:rsidR="000459BE" w:rsidP="000459BE" w:rsidRDefault="000459BE" w14:paraId="3998CCFF" w14:textId="77777777">
            <w:pPr>
              <w:spacing w:after="240"/>
            </w:pPr>
          </w:p>
        </w:tc>
        <w:tc>
          <w:tcPr>
            <w:tcW w:w="561" w:type="pct"/>
          </w:tcPr>
          <w:p w:rsidRPr="007E0B55" w:rsidR="000459BE" w:rsidP="000459BE" w:rsidRDefault="000459BE" w14:paraId="35FD286E" w14:textId="77777777">
            <w:pPr>
              <w:spacing w:after="240"/>
              <w:contextualSpacing/>
              <w:rPr>
                <w:sz w:val="20"/>
              </w:rPr>
            </w:pPr>
          </w:p>
        </w:tc>
        <w:tc>
          <w:tcPr>
            <w:tcW w:w="344" w:type="pct"/>
            <w:vAlign w:val="center"/>
          </w:tcPr>
          <w:p w:rsidRPr="00E47B30" w:rsidR="000459BE" w:rsidP="000459BE" w:rsidRDefault="000459BE" w14:paraId="024343D3"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4C04DCFA" w14:textId="698DA7A1">
            <w:pPr>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36CC8768" w14:textId="77777777">
        <w:trPr>
          <w:cantSplit/>
          <w:jc w:val="center"/>
        </w:trPr>
        <w:tc>
          <w:tcPr>
            <w:tcW w:w="690" w:type="pct"/>
            <w:shd w:val="clear" w:color="auto" w:fill="auto"/>
          </w:tcPr>
          <w:p w:rsidRPr="00E47B30" w:rsidR="000459BE" w:rsidP="000459BE" w:rsidRDefault="000459BE" w14:paraId="34C75CBF" w14:textId="057F649C">
            <w:r>
              <w:t>[</w:t>
            </w:r>
            <w:r w:rsidRPr="00E47B30">
              <w:t>Compensation Committee Report</w:t>
            </w:r>
            <w:r>
              <w:t>]</w:t>
            </w:r>
          </w:p>
        </w:tc>
        <w:tc>
          <w:tcPr>
            <w:tcW w:w="523" w:type="pct"/>
            <w:shd w:val="clear" w:color="auto" w:fill="auto"/>
          </w:tcPr>
          <w:p w:rsidRPr="00E47B30" w:rsidR="000459BE" w:rsidP="000459BE" w:rsidRDefault="000459BE" w14:paraId="5F3DCB99" w14:textId="08CD9AA3">
            <w:pPr>
              <w:jc w:val="center"/>
            </w:pPr>
            <w:r w:rsidRPr="00E47B30">
              <w:t xml:space="preserve">Item </w:t>
            </w:r>
            <w:hyperlink w:history="1" w:anchor="p-229.407(e)(5)(i)" r:id="rId108">
              <w:r w:rsidRPr="00E47B30">
                <w:rPr>
                  <w:rStyle w:val="Hyperlink"/>
                </w:rPr>
                <w:t>407(e)(5)</w:t>
              </w:r>
            </w:hyperlink>
          </w:p>
        </w:tc>
        <w:tc>
          <w:tcPr>
            <w:tcW w:w="1951" w:type="pct"/>
            <w:shd w:val="clear" w:color="auto" w:fill="auto"/>
          </w:tcPr>
          <w:p w:rsidRPr="00526783" w:rsidR="000459BE" w:rsidP="000459BE" w:rsidRDefault="000459BE" w14:paraId="60B89FF8" w14:textId="2CA27B65">
            <w:pPr>
              <w:spacing w:after="240"/>
              <w:rPr>
                <w:b/>
                <w:bCs/>
              </w:rPr>
            </w:pPr>
            <w:r w:rsidRPr="00526783">
              <w:rPr>
                <w:b/>
                <w:bCs/>
              </w:rPr>
              <w:t xml:space="preserve">This section must appear under the caption </w:t>
            </w:r>
            <w:r>
              <w:rPr>
                <w:b/>
                <w:bCs/>
              </w:rPr>
              <w:t>“</w:t>
            </w:r>
            <w:r w:rsidRPr="00526783">
              <w:rPr>
                <w:b/>
                <w:bCs/>
              </w:rPr>
              <w:t>Compensation Committee Report</w:t>
            </w:r>
            <w:r>
              <w:rPr>
                <w:b/>
                <w:bCs/>
              </w:rPr>
              <w:t>”</w:t>
            </w:r>
          </w:p>
          <w:p w:rsidRPr="00E47B30" w:rsidR="000459BE" w:rsidP="000459BE" w:rsidRDefault="000459BE" w14:paraId="4CCE61B2" w14:textId="1617D3CF">
            <w:pPr>
              <w:spacing w:after="240"/>
            </w:pPr>
            <w:r w:rsidRPr="00E47B30">
              <w:t xml:space="preserve">The compensation committee (or equivalent committee or, in its absence, the full board) must state whether it reviewed and discussed the Compensation Discussion and Analysis </w:t>
            </w:r>
            <w:r>
              <w:t>(</w:t>
            </w:r>
            <w:proofErr w:type="spellStart"/>
            <w:r>
              <w:t>CD&amp;A</w:t>
            </w:r>
            <w:proofErr w:type="spellEnd"/>
            <w:r>
              <w:t xml:space="preserve">) required </w:t>
            </w:r>
            <w:r w:rsidRPr="00E47B30">
              <w:t xml:space="preserve">Regulation S-K </w:t>
            </w:r>
            <w:hyperlink w:history="1" w:anchor="p-229.402(b)" r:id="rId109">
              <w:r w:rsidRPr="00D62D60">
                <w:rPr>
                  <w:rStyle w:val="Hyperlink"/>
                </w:rPr>
                <w:t>Item 402(b)</w:t>
              </w:r>
            </w:hyperlink>
            <w:r>
              <w:t xml:space="preserve"> </w:t>
            </w:r>
            <w:r w:rsidRPr="00E47B30">
              <w:t xml:space="preserve">and whether it recommended to the Board of Directors that the </w:t>
            </w:r>
            <w:proofErr w:type="spellStart"/>
            <w:r>
              <w:t>CD&amp;A</w:t>
            </w:r>
            <w:proofErr w:type="spellEnd"/>
            <w:r w:rsidRPr="00E47B30">
              <w:t xml:space="preserve"> be included in the Form 10</w:t>
            </w:r>
            <w:r w:rsidRPr="00E47B30">
              <w:noBreakHyphen/>
              <w:t>K Annual Report or proxy statement. The name of each committee member must appear below the report.</w:t>
            </w:r>
          </w:p>
        </w:tc>
        <w:tc>
          <w:tcPr>
            <w:tcW w:w="931" w:type="pct"/>
          </w:tcPr>
          <w:p w:rsidRPr="00414307" w:rsidR="000459BE" w:rsidP="000459BE" w:rsidRDefault="000459BE" w14:paraId="2486D616" w14:textId="52EAE815">
            <w:pPr>
              <w:spacing w:after="240"/>
            </w:pPr>
            <w:r w:rsidRPr="00414307">
              <w:t>Note</w:t>
            </w:r>
            <w:r>
              <w:t xml:space="preserve">:  </w:t>
            </w:r>
            <w:r w:rsidRPr="00414307">
              <w:t xml:space="preserve">the information required by Item 407(e)(5) is not deemed to be </w:t>
            </w:r>
            <w:r>
              <w:t>“</w:t>
            </w:r>
            <w:r w:rsidRPr="00414307">
              <w:t>soliciting material</w:t>
            </w:r>
            <w:r>
              <w:t>”</w:t>
            </w:r>
            <w:r w:rsidRPr="00414307">
              <w:t xml:space="preserve"> or </w:t>
            </w:r>
            <w:r>
              <w:t>“</w:t>
            </w:r>
            <w:r w:rsidRPr="00414307">
              <w:t>filed,</w:t>
            </w:r>
            <w:r>
              <w:t>”</w:t>
            </w:r>
            <w:r w:rsidRPr="00414307">
              <w:t xml:space="preserve"> nor is it incorporated by reference into other company filings, except to the extent specifically indicated by the company.</w:t>
            </w:r>
          </w:p>
        </w:tc>
        <w:tc>
          <w:tcPr>
            <w:tcW w:w="561" w:type="pct"/>
          </w:tcPr>
          <w:p w:rsidRPr="007E0B55" w:rsidR="000459BE" w:rsidP="000459BE" w:rsidRDefault="000459BE" w14:paraId="63CFDD76" w14:textId="77777777">
            <w:pPr>
              <w:spacing w:after="240"/>
              <w:contextualSpacing/>
              <w:rPr>
                <w:sz w:val="20"/>
              </w:rPr>
            </w:pPr>
          </w:p>
        </w:tc>
        <w:tc>
          <w:tcPr>
            <w:tcW w:w="344" w:type="pct"/>
            <w:vAlign w:val="center"/>
          </w:tcPr>
          <w:p w:rsidRPr="00E47B30" w:rsidR="000459BE" w:rsidP="000459BE" w:rsidRDefault="000459BE" w14:paraId="7A64B6BE"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386FDF0B" w14:textId="04C39428">
            <w:pPr>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019E9E13" w14:textId="77777777">
        <w:trPr>
          <w:cantSplit/>
          <w:jc w:val="center"/>
        </w:trPr>
        <w:tc>
          <w:tcPr>
            <w:tcW w:w="5000" w:type="pct"/>
            <w:gridSpan w:val="6"/>
            <w:shd w:val="clear" w:color="auto" w:fill="D9D9D9" w:themeFill="background1" w:themeFillShade="D9"/>
          </w:tcPr>
          <w:p w:rsidRPr="006E04F1" w:rsidR="000459BE" w:rsidP="000459BE" w:rsidRDefault="000459BE" w14:paraId="60A0530A" w14:textId="59234C53">
            <w:pPr>
              <w:spacing w:after="0"/>
              <w:rPr>
                <w:b/>
                <w:bCs/>
                <w:szCs w:val="22"/>
              </w:rPr>
            </w:pPr>
            <w:r>
              <w:rPr>
                <w:b/>
                <w:bCs/>
                <w:szCs w:val="22"/>
              </w:rPr>
              <w:t>Item 9.  Independent Public Accountants</w:t>
            </w:r>
          </w:p>
        </w:tc>
      </w:tr>
      <w:tr w:rsidRPr="00E47B30" w:rsidR="000459BE" w:rsidTr="00E708F1" w14:paraId="12738A71" w14:textId="77777777">
        <w:trPr>
          <w:cantSplit/>
          <w:jc w:val="center"/>
        </w:trPr>
        <w:tc>
          <w:tcPr>
            <w:tcW w:w="690" w:type="pct"/>
          </w:tcPr>
          <w:p w:rsidRPr="00ED7DA1" w:rsidR="000459BE" w:rsidP="000459BE" w:rsidRDefault="000459BE" w14:paraId="038642CA" w14:textId="0812E822">
            <w:r w:rsidRPr="00ED7DA1">
              <w:lastRenderedPageBreak/>
              <w:t xml:space="preserve">Item 9. Independent </w:t>
            </w:r>
            <w:r>
              <w:t>Public Accountants</w:t>
            </w:r>
          </w:p>
        </w:tc>
        <w:tc>
          <w:tcPr>
            <w:tcW w:w="523" w:type="pct"/>
          </w:tcPr>
          <w:p w:rsidRPr="00E47B30" w:rsidR="000459BE" w:rsidP="000459BE" w:rsidRDefault="000459BE" w14:paraId="50BCF15C" w14:textId="415DE765">
            <w:pPr>
              <w:jc w:val="center"/>
            </w:pPr>
            <w:r w:rsidRPr="00E47B30">
              <w:t xml:space="preserve">Item </w:t>
            </w:r>
            <w:hyperlink w:history="1" w:anchor="p-229.304(a)" r:id="rId110">
              <w:r w:rsidRPr="00E47B30">
                <w:rPr>
                  <w:rStyle w:val="Hyperlink"/>
                </w:rPr>
                <w:t>3</w:t>
              </w:r>
              <w:bookmarkStart w:name="_Hlt92449655" w:id="11"/>
              <w:bookmarkEnd w:id="11"/>
              <w:r w:rsidRPr="00E47B30">
                <w:rPr>
                  <w:rStyle w:val="Hyperlink"/>
                </w:rPr>
                <w:t>04</w:t>
              </w:r>
            </w:hyperlink>
          </w:p>
        </w:tc>
        <w:tc>
          <w:tcPr>
            <w:tcW w:w="1951" w:type="pct"/>
          </w:tcPr>
          <w:p w:rsidR="000459BE" w:rsidP="000459BE" w:rsidRDefault="000459BE" w14:paraId="5EAD8CDE" w14:textId="3E35C2DD">
            <w:pPr>
              <w:spacing w:after="240"/>
            </w:pPr>
            <w:r w:rsidRPr="00ED7DA1">
              <w:t xml:space="preserve">If the </w:t>
            </w:r>
            <w:r>
              <w:t xml:space="preserve">proxy </w:t>
            </w:r>
            <w:r w:rsidRPr="00ED7DA1">
              <w:t xml:space="preserve">solicitation is made on behalf of the </w:t>
            </w:r>
            <w:r>
              <w:t>company</w:t>
            </w:r>
            <w:r w:rsidRPr="00ED7DA1">
              <w:t xml:space="preserve"> and relates to</w:t>
            </w:r>
            <w:r>
              <w:t>:</w:t>
            </w:r>
          </w:p>
          <w:p w:rsidR="000459BE" w:rsidP="000459BE" w:rsidRDefault="000459BE" w14:paraId="5EE8C5A0" w14:textId="77777777">
            <w:pPr>
              <w:spacing w:after="240"/>
              <w:ind w:left="421" w:hanging="270"/>
            </w:pPr>
            <w:r w:rsidRPr="00ED7DA1">
              <w:t xml:space="preserve">(1) The annual (or special meeting in lieu of annual) meeting of security holders at which directors are to be elected, or a solicitation of consents or authorizations in lieu of such meeting or </w:t>
            </w:r>
          </w:p>
          <w:p w:rsidR="000459BE" w:rsidP="000459BE" w:rsidRDefault="000459BE" w14:paraId="4ADE2975" w14:textId="434D2D83">
            <w:pPr>
              <w:spacing w:after="240"/>
              <w:ind w:left="421" w:hanging="270"/>
            </w:pPr>
            <w:r w:rsidRPr="00ED7DA1">
              <w:t xml:space="preserve">(2) the election, approval or ratification of the </w:t>
            </w:r>
            <w:r>
              <w:t>company’s</w:t>
            </w:r>
            <w:r w:rsidRPr="00ED7DA1">
              <w:t xml:space="preserve"> accountant, </w:t>
            </w:r>
          </w:p>
          <w:p w:rsidRPr="00E47B30" w:rsidR="000459BE" w:rsidP="000459BE" w:rsidRDefault="000459BE" w14:paraId="7B84362D" w14:textId="2C3CBA4D">
            <w:pPr>
              <w:spacing w:after="240"/>
            </w:pPr>
            <w:r w:rsidRPr="00ED7DA1">
              <w:t xml:space="preserve">furnish the </w:t>
            </w:r>
            <w:r>
              <w:t>below</w:t>
            </w:r>
            <w:r w:rsidRPr="00ED7DA1">
              <w:t xml:space="preserve"> information describing the </w:t>
            </w:r>
            <w:r>
              <w:t>company’s</w:t>
            </w:r>
            <w:r w:rsidRPr="00ED7DA1">
              <w:t xml:space="preserve"> relationship with its independent public accountant</w:t>
            </w:r>
            <w:r>
              <w:t>.</w:t>
            </w:r>
          </w:p>
        </w:tc>
        <w:tc>
          <w:tcPr>
            <w:tcW w:w="931" w:type="pct"/>
          </w:tcPr>
          <w:p w:rsidRPr="00414307" w:rsidR="000459BE" w:rsidP="000459BE" w:rsidRDefault="000459BE" w14:paraId="1A1F61CC" w14:textId="77777777">
            <w:pPr>
              <w:spacing w:after="240"/>
              <w:rPr>
                <w:b/>
                <w:bCs/>
                <w:i/>
                <w:iCs/>
              </w:rPr>
            </w:pPr>
          </w:p>
        </w:tc>
        <w:tc>
          <w:tcPr>
            <w:tcW w:w="561" w:type="pct"/>
          </w:tcPr>
          <w:p w:rsidRPr="007E0B55" w:rsidR="000459BE" w:rsidP="000459BE" w:rsidRDefault="000459BE" w14:paraId="40F795EB" w14:textId="77777777">
            <w:pPr>
              <w:spacing w:after="240"/>
              <w:contextualSpacing/>
              <w:rPr>
                <w:sz w:val="20"/>
              </w:rPr>
            </w:pPr>
          </w:p>
        </w:tc>
        <w:tc>
          <w:tcPr>
            <w:tcW w:w="344" w:type="pct"/>
            <w:vAlign w:val="center"/>
          </w:tcPr>
          <w:p w:rsidRPr="00E47B30" w:rsidR="000459BE" w:rsidP="000459BE" w:rsidRDefault="000459BE" w14:paraId="48A6F2D7"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753F24CC" w14:textId="47BEF2A7">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337CEAF0" w14:textId="77777777">
        <w:trPr>
          <w:cantSplit/>
          <w:jc w:val="center"/>
        </w:trPr>
        <w:tc>
          <w:tcPr>
            <w:tcW w:w="690" w:type="pct"/>
          </w:tcPr>
          <w:p w:rsidRPr="00ED7DA1" w:rsidR="000459BE" w:rsidP="000459BE" w:rsidRDefault="000459BE" w14:paraId="0D8CB26A" w14:textId="57616871">
            <w:r>
              <w:t>Item 9(a)</w:t>
            </w:r>
          </w:p>
        </w:tc>
        <w:tc>
          <w:tcPr>
            <w:tcW w:w="523" w:type="pct"/>
          </w:tcPr>
          <w:p w:rsidRPr="00E47B30" w:rsidR="000459BE" w:rsidP="000459BE" w:rsidRDefault="000459BE" w14:paraId="69A53957" w14:textId="77777777">
            <w:pPr>
              <w:jc w:val="center"/>
            </w:pPr>
          </w:p>
        </w:tc>
        <w:tc>
          <w:tcPr>
            <w:tcW w:w="1951" w:type="pct"/>
          </w:tcPr>
          <w:p w:rsidRPr="00ED7DA1" w:rsidR="000459BE" w:rsidP="000459BE" w:rsidRDefault="000459BE" w14:paraId="0295B7B2" w14:textId="0ED7E513">
            <w:pPr>
              <w:spacing w:after="240"/>
            </w:pPr>
            <w:r w:rsidRPr="00ED7DA1">
              <w:t xml:space="preserve">(a) The name of the principal accountant selected or being recommended to security holders for election, approval or ratification for the current year. If no accountant has been selected or recommended, so state and briefly describe the reasons therefor. </w:t>
            </w:r>
          </w:p>
        </w:tc>
        <w:tc>
          <w:tcPr>
            <w:tcW w:w="931" w:type="pct"/>
          </w:tcPr>
          <w:p w:rsidRPr="00414307" w:rsidR="000459BE" w:rsidP="000459BE" w:rsidRDefault="000459BE" w14:paraId="44B4C928" w14:textId="77777777">
            <w:pPr>
              <w:spacing w:after="240"/>
              <w:rPr>
                <w:b/>
                <w:bCs/>
                <w:i/>
                <w:iCs/>
              </w:rPr>
            </w:pPr>
          </w:p>
        </w:tc>
        <w:tc>
          <w:tcPr>
            <w:tcW w:w="561" w:type="pct"/>
          </w:tcPr>
          <w:p w:rsidRPr="007E0B55" w:rsidR="000459BE" w:rsidP="000459BE" w:rsidRDefault="000459BE" w14:paraId="6695E4CA" w14:textId="77777777">
            <w:pPr>
              <w:spacing w:after="240"/>
              <w:contextualSpacing/>
              <w:rPr>
                <w:sz w:val="20"/>
              </w:rPr>
            </w:pPr>
          </w:p>
        </w:tc>
        <w:tc>
          <w:tcPr>
            <w:tcW w:w="344" w:type="pct"/>
            <w:vAlign w:val="center"/>
          </w:tcPr>
          <w:p w:rsidRPr="00E47B30" w:rsidR="000459BE" w:rsidP="000459BE" w:rsidRDefault="000459BE" w14:paraId="09996636"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1F770163" w14:textId="5CF2CA7B">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54430702" w14:textId="77777777">
        <w:trPr>
          <w:cantSplit/>
          <w:jc w:val="center"/>
        </w:trPr>
        <w:tc>
          <w:tcPr>
            <w:tcW w:w="690" w:type="pct"/>
          </w:tcPr>
          <w:p w:rsidRPr="00ED7DA1" w:rsidR="000459BE" w:rsidP="000459BE" w:rsidRDefault="000459BE" w14:paraId="75BEE4F3" w14:textId="1ACDCC8C">
            <w:r>
              <w:t>Item 9(b)</w:t>
            </w:r>
          </w:p>
        </w:tc>
        <w:tc>
          <w:tcPr>
            <w:tcW w:w="523" w:type="pct"/>
          </w:tcPr>
          <w:p w:rsidRPr="00E47B30" w:rsidR="000459BE" w:rsidP="000459BE" w:rsidRDefault="000459BE" w14:paraId="37623590" w14:textId="77777777">
            <w:pPr>
              <w:jc w:val="center"/>
            </w:pPr>
          </w:p>
        </w:tc>
        <w:tc>
          <w:tcPr>
            <w:tcW w:w="1951" w:type="pct"/>
          </w:tcPr>
          <w:p w:rsidRPr="00ED7DA1" w:rsidR="000459BE" w:rsidP="000459BE" w:rsidRDefault="000459BE" w14:paraId="4DADB5BF" w14:textId="38106EF0">
            <w:pPr>
              <w:spacing w:after="240"/>
            </w:pPr>
            <w:r>
              <w:t>(</w:t>
            </w:r>
            <w:r w:rsidRPr="00ED7DA1">
              <w:t>b) The name of the principal accountant for the fiscal year most recently completed if different from the accountant selected or recommended for the current year or if no accountant has yet been selected</w:t>
            </w:r>
            <w:r>
              <w:t xml:space="preserve"> </w:t>
            </w:r>
            <w:r w:rsidRPr="00ED7DA1">
              <w:t>or recommended for the current year.</w:t>
            </w:r>
          </w:p>
        </w:tc>
        <w:tc>
          <w:tcPr>
            <w:tcW w:w="931" w:type="pct"/>
          </w:tcPr>
          <w:p w:rsidRPr="00414307" w:rsidR="000459BE" w:rsidP="000459BE" w:rsidRDefault="000459BE" w14:paraId="1C223176" w14:textId="77777777">
            <w:pPr>
              <w:spacing w:after="240"/>
              <w:rPr>
                <w:b/>
                <w:bCs/>
                <w:i/>
                <w:iCs/>
              </w:rPr>
            </w:pPr>
          </w:p>
        </w:tc>
        <w:tc>
          <w:tcPr>
            <w:tcW w:w="561" w:type="pct"/>
          </w:tcPr>
          <w:p w:rsidRPr="007E0B55" w:rsidR="000459BE" w:rsidP="000459BE" w:rsidRDefault="000459BE" w14:paraId="66D043DF" w14:textId="77777777">
            <w:pPr>
              <w:spacing w:after="240"/>
              <w:contextualSpacing/>
              <w:rPr>
                <w:sz w:val="20"/>
              </w:rPr>
            </w:pPr>
          </w:p>
        </w:tc>
        <w:tc>
          <w:tcPr>
            <w:tcW w:w="344" w:type="pct"/>
            <w:vAlign w:val="center"/>
          </w:tcPr>
          <w:p w:rsidRPr="00E47B30" w:rsidR="000459BE" w:rsidP="000459BE" w:rsidRDefault="000459BE" w14:paraId="1B8D62C6"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5EC8B134" w14:textId="1A12F476">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059FEA93" w14:textId="77777777">
        <w:trPr>
          <w:cantSplit/>
          <w:jc w:val="center"/>
        </w:trPr>
        <w:tc>
          <w:tcPr>
            <w:tcW w:w="690" w:type="pct"/>
          </w:tcPr>
          <w:p w:rsidRPr="00ED7DA1" w:rsidR="000459BE" w:rsidP="000459BE" w:rsidRDefault="000459BE" w14:paraId="7030F6CC" w14:textId="2595B41A">
            <w:r>
              <w:lastRenderedPageBreak/>
              <w:t>Item 9(c)</w:t>
            </w:r>
          </w:p>
        </w:tc>
        <w:tc>
          <w:tcPr>
            <w:tcW w:w="523" w:type="pct"/>
          </w:tcPr>
          <w:p w:rsidRPr="00E47B30" w:rsidR="000459BE" w:rsidP="000459BE" w:rsidRDefault="000459BE" w14:paraId="2178D1E5" w14:textId="77777777">
            <w:pPr>
              <w:jc w:val="center"/>
            </w:pPr>
          </w:p>
        </w:tc>
        <w:tc>
          <w:tcPr>
            <w:tcW w:w="1951" w:type="pct"/>
          </w:tcPr>
          <w:p w:rsidR="000459BE" w:rsidP="000459BE" w:rsidRDefault="000459BE" w14:paraId="469C4D47" w14:textId="783BFF26">
            <w:pPr>
              <w:spacing w:after="240"/>
            </w:pPr>
            <w:r>
              <w:t>(</w:t>
            </w:r>
            <w:r w:rsidRPr="00ED7DA1">
              <w:t xml:space="preserve">c) The proxy statement </w:t>
            </w:r>
            <w:r>
              <w:t xml:space="preserve">must include the following disclosure:  </w:t>
            </w:r>
          </w:p>
          <w:p w:rsidR="000459BE" w:rsidP="000459BE" w:rsidRDefault="000459BE" w14:paraId="35601275" w14:textId="0E89CE7E">
            <w:pPr>
              <w:spacing w:after="240"/>
              <w:ind w:left="421" w:hanging="270"/>
            </w:pPr>
            <w:r w:rsidRPr="00ED7DA1">
              <w:t xml:space="preserve">(1) </w:t>
            </w:r>
            <w:r>
              <w:t>w</w:t>
            </w:r>
            <w:r w:rsidRPr="00ED7DA1">
              <w:t>hether or not representatives of the principal accountant for the current year and for the most recently completed fiscal year are expected to be present at the security holders</w:t>
            </w:r>
            <w:r>
              <w:t>’</w:t>
            </w:r>
            <w:r w:rsidRPr="00ED7DA1">
              <w:t xml:space="preserve"> meeting, </w:t>
            </w:r>
          </w:p>
          <w:p w:rsidR="000459BE" w:rsidP="000459BE" w:rsidRDefault="000459BE" w14:paraId="3C8730B5" w14:textId="77777777">
            <w:pPr>
              <w:spacing w:after="240"/>
              <w:ind w:left="421" w:hanging="270"/>
            </w:pPr>
            <w:r w:rsidRPr="00ED7DA1">
              <w:t xml:space="preserve">(2) whether or not they will have the opportunity to make a statement if they desire to do so, and </w:t>
            </w:r>
          </w:p>
          <w:p w:rsidRPr="00ED7DA1" w:rsidR="000459BE" w:rsidP="000459BE" w:rsidRDefault="000459BE" w14:paraId="3318F351" w14:textId="41B0F3D6">
            <w:pPr>
              <w:spacing w:after="240"/>
              <w:ind w:left="421" w:hanging="270"/>
            </w:pPr>
            <w:r w:rsidRPr="00ED7DA1">
              <w:t xml:space="preserve">(3) whether or not such representatives are expected to be available to respond to appropriate questions. </w:t>
            </w:r>
          </w:p>
        </w:tc>
        <w:tc>
          <w:tcPr>
            <w:tcW w:w="931" w:type="pct"/>
          </w:tcPr>
          <w:p w:rsidRPr="00414307" w:rsidR="000459BE" w:rsidP="000459BE" w:rsidRDefault="000459BE" w14:paraId="5F3B3BF2" w14:textId="77777777">
            <w:pPr>
              <w:spacing w:after="240"/>
              <w:rPr>
                <w:b/>
                <w:bCs/>
                <w:i/>
                <w:iCs/>
              </w:rPr>
            </w:pPr>
          </w:p>
        </w:tc>
        <w:tc>
          <w:tcPr>
            <w:tcW w:w="561" w:type="pct"/>
          </w:tcPr>
          <w:p w:rsidRPr="007E0B55" w:rsidR="000459BE" w:rsidP="000459BE" w:rsidRDefault="000459BE" w14:paraId="7E77A4BA" w14:textId="77777777">
            <w:pPr>
              <w:spacing w:after="240"/>
              <w:contextualSpacing/>
              <w:rPr>
                <w:sz w:val="20"/>
              </w:rPr>
            </w:pPr>
          </w:p>
        </w:tc>
        <w:tc>
          <w:tcPr>
            <w:tcW w:w="344" w:type="pct"/>
            <w:vAlign w:val="center"/>
          </w:tcPr>
          <w:p w:rsidRPr="00E47B30" w:rsidR="000459BE" w:rsidP="000459BE" w:rsidRDefault="000459BE" w14:paraId="29096270"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4EF77066" w14:textId="6812388E">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32B08580" w14:textId="77777777">
        <w:trPr>
          <w:cantSplit/>
          <w:jc w:val="center"/>
        </w:trPr>
        <w:tc>
          <w:tcPr>
            <w:tcW w:w="690" w:type="pct"/>
          </w:tcPr>
          <w:p w:rsidR="000459BE" w:rsidP="000459BE" w:rsidRDefault="000459BE" w14:paraId="7E50B3DA" w14:textId="77777777">
            <w:r>
              <w:t>Item 9(d)</w:t>
            </w:r>
          </w:p>
          <w:p w:rsidRPr="00ED7DA1" w:rsidR="000459BE" w:rsidP="000459BE" w:rsidRDefault="000459BE" w14:paraId="5743E2A7" w14:textId="71A266DA">
            <w:r>
              <w:t>[Changes In and Disagreements with Accountants on Accounting and Financial Disclosure]</w:t>
            </w:r>
          </w:p>
        </w:tc>
        <w:tc>
          <w:tcPr>
            <w:tcW w:w="523" w:type="pct"/>
          </w:tcPr>
          <w:p w:rsidRPr="00E47B30" w:rsidR="000459BE" w:rsidP="000459BE" w:rsidRDefault="000459BE" w14:paraId="625B00A6" w14:textId="17BB9DA0">
            <w:pPr>
              <w:jc w:val="center"/>
            </w:pPr>
            <w:r w:rsidRPr="00ED7DA1">
              <w:t xml:space="preserve">Item </w:t>
            </w:r>
            <w:hyperlink w:history="1" r:id="rId111">
              <w:r w:rsidRPr="00377260">
                <w:rPr>
                  <w:rStyle w:val="Hyperlink"/>
                </w:rPr>
                <w:t>304</w:t>
              </w:r>
            </w:hyperlink>
          </w:p>
        </w:tc>
        <w:tc>
          <w:tcPr>
            <w:tcW w:w="1951" w:type="pct"/>
          </w:tcPr>
          <w:p w:rsidR="000459BE" w:rsidP="000459BE" w:rsidRDefault="000459BE" w14:paraId="5F79851E" w14:textId="29490EFF">
            <w:pPr>
              <w:spacing w:after="240"/>
            </w:pPr>
            <w:r>
              <w:t>(</w:t>
            </w:r>
            <w:r w:rsidRPr="00ED7DA1">
              <w:t xml:space="preserve">d) </w:t>
            </w:r>
            <w:r>
              <w:t>P</w:t>
            </w:r>
            <w:r w:rsidRPr="00ED7DA1">
              <w:t xml:space="preserve">rovide the information required by </w:t>
            </w:r>
            <w:hyperlink w:history="1" r:id="rId112">
              <w:r w:rsidRPr="00ED7DA1">
                <w:rPr>
                  <w:rStyle w:val="Hyperlink"/>
                </w:rPr>
                <w:t>Item 304(a)</w:t>
              </w:r>
            </w:hyperlink>
            <w:r w:rsidRPr="00ED7DA1">
              <w:t xml:space="preserve"> of Regulation S</w:t>
            </w:r>
            <w:r>
              <w:noBreakHyphen/>
            </w:r>
            <w:r w:rsidRPr="00ED7DA1">
              <w:t>K</w:t>
            </w:r>
            <w:r>
              <w:t>,</w:t>
            </w:r>
            <w:r w:rsidRPr="00ED7DA1">
              <w:t xml:space="preserve"> notwithstanding any previous disclosure</w:t>
            </w:r>
            <w:r>
              <w:t>, if</w:t>
            </w:r>
            <w:r w:rsidRPr="00ED7DA1">
              <w:t xml:space="preserve"> during the </w:t>
            </w:r>
            <w:r>
              <w:t>company’</w:t>
            </w:r>
            <w:r w:rsidRPr="00ED7DA1">
              <w:t>s two most recent fiscal years or any subsequent interim period</w:t>
            </w:r>
            <w:r>
              <w:t>:</w:t>
            </w:r>
          </w:p>
          <w:p w:rsidR="000459BE" w:rsidP="000459BE" w:rsidRDefault="000459BE" w14:paraId="6C8804AD" w14:textId="52FA90DD">
            <w:pPr>
              <w:spacing w:after="240"/>
              <w:ind w:left="421" w:hanging="270"/>
            </w:pPr>
            <w:r w:rsidRPr="00ED7DA1">
              <w:t xml:space="preserve">(1) an independent accountant who was previously engaged as the principal accountant to audit the </w:t>
            </w:r>
            <w:r>
              <w:t>company’</w:t>
            </w:r>
            <w:r w:rsidRPr="00ED7DA1">
              <w:t xml:space="preserve">s financial statements, or an independent accountant on whom the principal accountant expressed reliance in its report regarding a significant subsidiary, has resigned (or indicated it has declined to stand for re-election after the completion of the current audit) or was dismissed, or </w:t>
            </w:r>
          </w:p>
          <w:p w:rsidRPr="00ED7DA1" w:rsidR="000459BE" w:rsidP="000459BE" w:rsidRDefault="000459BE" w14:paraId="5834D44B" w14:textId="603849F3">
            <w:pPr>
              <w:spacing w:after="240"/>
              <w:ind w:left="421" w:hanging="270"/>
            </w:pPr>
            <w:r w:rsidRPr="00ED7DA1">
              <w:t xml:space="preserve">(2) a new independent accountant has been engaged as either the principal accountant to audit the </w:t>
            </w:r>
            <w:r>
              <w:t>company’</w:t>
            </w:r>
            <w:r w:rsidRPr="00ED7DA1">
              <w:t>s financial statements or as an independent accountant on whom the principal accountant has expressed or is expected to express reliance in its report regarding a significant subsidiary</w:t>
            </w:r>
            <w:r>
              <w:t>.</w:t>
            </w:r>
          </w:p>
        </w:tc>
        <w:tc>
          <w:tcPr>
            <w:tcW w:w="931" w:type="pct"/>
          </w:tcPr>
          <w:p w:rsidRPr="00414307" w:rsidR="000459BE" w:rsidP="000459BE" w:rsidRDefault="000459BE" w14:paraId="7DC121FA" w14:textId="77777777">
            <w:pPr>
              <w:spacing w:after="240"/>
              <w:rPr>
                <w:b/>
                <w:bCs/>
                <w:i/>
                <w:iCs/>
              </w:rPr>
            </w:pPr>
          </w:p>
        </w:tc>
        <w:tc>
          <w:tcPr>
            <w:tcW w:w="561" w:type="pct"/>
          </w:tcPr>
          <w:p w:rsidRPr="007E0B55" w:rsidR="000459BE" w:rsidP="000459BE" w:rsidRDefault="000459BE" w14:paraId="754160C3" w14:textId="77777777">
            <w:pPr>
              <w:spacing w:after="240"/>
              <w:contextualSpacing/>
              <w:rPr>
                <w:sz w:val="20"/>
              </w:rPr>
            </w:pPr>
          </w:p>
        </w:tc>
        <w:tc>
          <w:tcPr>
            <w:tcW w:w="344" w:type="pct"/>
            <w:vAlign w:val="center"/>
          </w:tcPr>
          <w:p w:rsidRPr="00E47B30" w:rsidR="000459BE" w:rsidP="000459BE" w:rsidRDefault="000459BE" w14:paraId="31E9F1AE"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682A1D3C" w14:textId="76E973E7">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0091CAAA" w14:textId="77777777">
        <w:trPr>
          <w:cantSplit/>
          <w:jc w:val="center"/>
        </w:trPr>
        <w:tc>
          <w:tcPr>
            <w:tcW w:w="690" w:type="pct"/>
          </w:tcPr>
          <w:p w:rsidR="000459BE" w:rsidP="000459BE" w:rsidRDefault="000459BE" w14:paraId="0961BF8C" w14:textId="77777777">
            <w:r>
              <w:lastRenderedPageBreak/>
              <w:t>Item 9(e)</w:t>
            </w:r>
          </w:p>
          <w:p w:rsidRPr="00ED7DA1" w:rsidR="000459BE" w:rsidP="000459BE" w:rsidRDefault="000459BE" w14:paraId="1EDABDF2" w14:textId="7AF7A429">
            <w:r>
              <w:t>[Audit, Audit-Related, Tax and All Other Fees]</w:t>
            </w:r>
          </w:p>
        </w:tc>
        <w:tc>
          <w:tcPr>
            <w:tcW w:w="523" w:type="pct"/>
          </w:tcPr>
          <w:p w:rsidRPr="00E47B30" w:rsidR="000459BE" w:rsidP="000459BE" w:rsidRDefault="000459BE" w14:paraId="48B5B778" w14:textId="77777777">
            <w:pPr>
              <w:jc w:val="center"/>
            </w:pPr>
          </w:p>
        </w:tc>
        <w:tc>
          <w:tcPr>
            <w:tcW w:w="1951" w:type="pct"/>
          </w:tcPr>
          <w:p w:rsidRPr="00ED7DA1" w:rsidR="000459BE" w:rsidP="000459BE" w:rsidRDefault="000459BE" w14:paraId="7E4C462A" w14:textId="66917267">
            <w:pPr>
              <w:spacing w:after="240"/>
            </w:pPr>
            <w:r w:rsidRPr="00ED7DA1">
              <w:t xml:space="preserve">(e)(1) Disclose, under the caption </w:t>
            </w:r>
            <w:r w:rsidRPr="005C0891">
              <w:rPr>
                <w:b/>
                <w:bCs/>
                <w:i/>
                <w:iCs/>
              </w:rPr>
              <w:t>Audit Fees</w:t>
            </w:r>
            <w:r w:rsidRPr="00ED7DA1">
              <w:t xml:space="preserve">, the aggregate fees billed for each of the last two fiscal years for professional services rendered by the principal accountant for the audit of the </w:t>
            </w:r>
            <w:r>
              <w:t>company’</w:t>
            </w:r>
            <w:r w:rsidRPr="00ED7DA1">
              <w:t xml:space="preserve">s annual financial statements and review of financial statements included in the </w:t>
            </w:r>
            <w:r>
              <w:t>company’</w:t>
            </w:r>
            <w:r w:rsidRPr="00ED7DA1">
              <w:t>s Form 10-Q or services that are normally provided by the accountant in connection with statutory and regulatory filings or engagements for those fiscal years.</w:t>
            </w:r>
          </w:p>
        </w:tc>
        <w:tc>
          <w:tcPr>
            <w:tcW w:w="931" w:type="pct"/>
          </w:tcPr>
          <w:p w:rsidRPr="00414307" w:rsidR="000459BE" w:rsidP="000459BE" w:rsidRDefault="000459BE" w14:paraId="4F2CB5B7" w14:textId="77777777">
            <w:pPr>
              <w:spacing w:after="240"/>
              <w:rPr>
                <w:b/>
                <w:bCs/>
                <w:i/>
                <w:iCs/>
              </w:rPr>
            </w:pPr>
          </w:p>
        </w:tc>
        <w:tc>
          <w:tcPr>
            <w:tcW w:w="561" w:type="pct"/>
          </w:tcPr>
          <w:p w:rsidRPr="007E0B55" w:rsidR="000459BE" w:rsidP="000459BE" w:rsidRDefault="000459BE" w14:paraId="0143FC16" w14:textId="77777777">
            <w:pPr>
              <w:spacing w:after="240"/>
              <w:contextualSpacing/>
              <w:rPr>
                <w:sz w:val="20"/>
              </w:rPr>
            </w:pPr>
          </w:p>
        </w:tc>
        <w:tc>
          <w:tcPr>
            <w:tcW w:w="344" w:type="pct"/>
            <w:vAlign w:val="center"/>
          </w:tcPr>
          <w:p w:rsidRPr="00E47B30" w:rsidR="000459BE" w:rsidP="000459BE" w:rsidRDefault="000459BE" w14:paraId="65FE7570"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282A79DD" w14:textId="6DEC38E1">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4514A97A" w14:textId="77777777">
        <w:trPr>
          <w:cantSplit/>
          <w:jc w:val="center"/>
        </w:trPr>
        <w:tc>
          <w:tcPr>
            <w:tcW w:w="690" w:type="pct"/>
          </w:tcPr>
          <w:p w:rsidRPr="00ED7DA1" w:rsidR="000459BE" w:rsidP="000459BE" w:rsidRDefault="000459BE" w14:paraId="60D9F708" w14:textId="77777777"/>
        </w:tc>
        <w:tc>
          <w:tcPr>
            <w:tcW w:w="523" w:type="pct"/>
          </w:tcPr>
          <w:p w:rsidRPr="00E47B30" w:rsidR="000459BE" w:rsidP="000459BE" w:rsidRDefault="000459BE" w14:paraId="24E6E8DE" w14:textId="77777777">
            <w:pPr>
              <w:jc w:val="center"/>
            </w:pPr>
          </w:p>
        </w:tc>
        <w:tc>
          <w:tcPr>
            <w:tcW w:w="1951" w:type="pct"/>
          </w:tcPr>
          <w:p w:rsidRPr="00ED7DA1" w:rsidR="000459BE" w:rsidP="000459BE" w:rsidRDefault="000459BE" w14:paraId="498042E5" w14:textId="1FF42C9D">
            <w:pPr>
              <w:spacing w:after="240"/>
            </w:pPr>
            <w:r w:rsidRPr="00ED7DA1">
              <w:t xml:space="preserve">(2) Disclose, under the caption </w:t>
            </w:r>
            <w:r w:rsidRPr="005C0891">
              <w:rPr>
                <w:b/>
                <w:bCs/>
                <w:i/>
                <w:iCs/>
              </w:rPr>
              <w:t>Audit-Related Fees</w:t>
            </w:r>
            <w:r w:rsidRPr="00ED7DA1">
              <w:rPr>
                <w:i/>
                <w:iCs/>
              </w:rPr>
              <w:t>,</w:t>
            </w:r>
            <w:r w:rsidRPr="00ED7DA1">
              <w:t xml:space="preserve"> the aggregate fees billed in each of the last two fiscal years for assurance and related services by the principal accountant that are reasonably related to the performance of the audit or review of the </w:t>
            </w:r>
            <w:r>
              <w:t>company’</w:t>
            </w:r>
            <w:r w:rsidRPr="00ED7DA1">
              <w:t xml:space="preserve">s financial statements and are not reported under </w:t>
            </w:r>
            <w:hyperlink w:history="1" w:anchor="p-240.14a-101(e)(1)" r:id="rId113">
              <w:r w:rsidRPr="00ED7DA1">
                <w:rPr>
                  <w:rStyle w:val="Hyperlink"/>
                </w:rPr>
                <w:t>paragraph (e)(1)</w:t>
              </w:r>
            </w:hyperlink>
            <w:r w:rsidRPr="00ED7DA1">
              <w:t xml:space="preserve"> of </w:t>
            </w:r>
            <w:r>
              <w:t>Item 9</w:t>
            </w:r>
            <w:r w:rsidRPr="00ED7DA1">
              <w:t xml:space="preserve">. </w:t>
            </w:r>
            <w:r>
              <w:t>Companies</w:t>
            </w:r>
            <w:r w:rsidRPr="00ED7DA1">
              <w:t xml:space="preserve"> shall describe the nature of the services comprising the fees disclosed under this category.</w:t>
            </w:r>
          </w:p>
        </w:tc>
        <w:tc>
          <w:tcPr>
            <w:tcW w:w="931" w:type="pct"/>
          </w:tcPr>
          <w:p w:rsidRPr="00414307" w:rsidR="000459BE" w:rsidP="000459BE" w:rsidRDefault="000459BE" w14:paraId="58933883" w14:textId="77777777">
            <w:pPr>
              <w:spacing w:after="240"/>
              <w:rPr>
                <w:b/>
                <w:bCs/>
                <w:i/>
                <w:iCs/>
              </w:rPr>
            </w:pPr>
          </w:p>
        </w:tc>
        <w:tc>
          <w:tcPr>
            <w:tcW w:w="561" w:type="pct"/>
          </w:tcPr>
          <w:p w:rsidRPr="007E0B55" w:rsidR="000459BE" w:rsidP="000459BE" w:rsidRDefault="000459BE" w14:paraId="22EBD3F5" w14:textId="77777777">
            <w:pPr>
              <w:spacing w:after="240"/>
              <w:contextualSpacing/>
              <w:rPr>
                <w:sz w:val="20"/>
              </w:rPr>
            </w:pPr>
          </w:p>
        </w:tc>
        <w:tc>
          <w:tcPr>
            <w:tcW w:w="344" w:type="pct"/>
            <w:vAlign w:val="center"/>
          </w:tcPr>
          <w:p w:rsidRPr="00E47B30" w:rsidR="000459BE" w:rsidP="000459BE" w:rsidRDefault="000459BE" w14:paraId="18E19069"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4C2F13BA" w14:textId="206DC218">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31EB2140" w14:textId="77777777">
        <w:trPr>
          <w:cantSplit/>
          <w:jc w:val="center"/>
        </w:trPr>
        <w:tc>
          <w:tcPr>
            <w:tcW w:w="690" w:type="pct"/>
          </w:tcPr>
          <w:p w:rsidRPr="00ED7DA1" w:rsidR="000459BE" w:rsidP="000459BE" w:rsidRDefault="000459BE" w14:paraId="5998F8AF" w14:textId="77777777"/>
        </w:tc>
        <w:tc>
          <w:tcPr>
            <w:tcW w:w="523" w:type="pct"/>
          </w:tcPr>
          <w:p w:rsidRPr="00E47B30" w:rsidR="000459BE" w:rsidP="000459BE" w:rsidRDefault="000459BE" w14:paraId="5C8925B8" w14:textId="77777777">
            <w:pPr>
              <w:jc w:val="center"/>
            </w:pPr>
          </w:p>
        </w:tc>
        <w:tc>
          <w:tcPr>
            <w:tcW w:w="1951" w:type="pct"/>
          </w:tcPr>
          <w:p w:rsidRPr="00ED7DA1" w:rsidR="000459BE" w:rsidP="000459BE" w:rsidRDefault="000459BE" w14:paraId="1478DD03" w14:textId="695F0419">
            <w:pPr>
              <w:spacing w:after="240"/>
            </w:pPr>
            <w:r w:rsidRPr="00ED7DA1">
              <w:t xml:space="preserve">(3) Disclose, under the caption </w:t>
            </w:r>
            <w:r w:rsidRPr="005C0891">
              <w:rPr>
                <w:b/>
                <w:bCs/>
                <w:i/>
                <w:iCs/>
              </w:rPr>
              <w:t>Tax Fees</w:t>
            </w:r>
            <w:r w:rsidRPr="00ED7DA1">
              <w:rPr>
                <w:i/>
                <w:iCs/>
              </w:rPr>
              <w:t>,</w:t>
            </w:r>
            <w:r w:rsidRPr="00ED7DA1">
              <w:t xml:space="preserve"> the aggregate fees billed in each of the last two fiscal years for professional services rendered by the principal accountant for tax compliance, tax advice, and tax planning. </w:t>
            </w:r>
            <w:r>
              <w:t>Companies</w:t>
            </w:r>
            <w:r w:rsidRPr="00ED7DA1">
              <w:t xml:space="preserve"> shall describe the nature of the services comprising the fees disclosed under this category.</w:t>
            </w:r>
          </w:p>
        </w:tc>
        <w:tc>
          <w:tcPr>
            <w:tcW w:w="931" w:type="pct"/>
          </w:tcPr>
          <w:p w:rsidRPr="00414307" w:rsidR="000459BE" w:rsidP="000459BE" w:rsidRDefault="000459BE" w14:paraId="7BC37568" w14:textId="77777777">
            <w:pPr>
              <w:spacing w:after="240"/>
              <w:rPr>
                <w:b/>
                <w:bCs/>
                <w:i/>
                <w:iCs/>
              </w:rPr>
            </w:pPr>
          </w:p>
        </w:tc>
        <w:tc>
          <w:tcPr>
            <w:tcW w:w="561" w:type="pct"/>
          </w:tcPr>
          <w:p w:rsidRPr="007E0B55" w:rsidR="000459BE" w:rsidP="000459BE" w:rsidRDefault="000459BE" w14:paraId="147C1543" w14:textId="77777777">
            <w:pPr>
              <w:spacing w:after="240"/>
              <w:contextualSpacing/>
              <w:rPr>
                <w:sz w:val="20"/>
              </w:rPr>
            </w:pPr>
          </w:p>
        </w:tc>
        <w:tc>
          <w:tcPr>
            <w:tcW w:w="344" w:type="pct"/>
            <w:vAlign w:val="center"/>
          </w:tcPr>
          <w:p w:rsidRPr="00E47B30" w:rsidR="000459BE" w:rsidP="000459BE" w:rsidRDefault="000459BE" w14:paraId="23FAD70D"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77487631" w14:textId="6918E037">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0DB1B31B" w14:textId="77777777">
        <w:trPr>
          <w:cantSplit/>
          <w:jc w:val="center"/>
        </w:trPr>
        <w:tc>
          <w:tcPr>
            <w:tcW w:w="690" w:type="pct"/>
          </w:tcPr>
          <w:p w:rsidRPr="00ED7DA1" w:rsidR="000459BE" w:rsidP="000459BE" w:rsidRDefault="000459BE" w14:paraId="6F994F3F" w14:textId="77777777"/>
        </w:tc>
        <w:tc>
          <w:tcPr>
            <w:tcW w:w="523" w:type="pct"/>
          </w:tcPr>
          <w:p w:rsidRPr="00E47B30" w:rsidR="000459BE" w:rsidP="000459BE" w:rsidRDefault="000459BE" w14:paraId="678206A4" w14:textId="77777777">
            <w:pPr>
              <w:jc w:val="center"/>
            </w:pPr>
          </w:p>
        </w:tc>
        <w:tc>
          <w:tcPr>
            <w:tcW w:w="1951" w:type="pct"/>
          </w:tcPr>
          <w:p w:rsidRPr="00ED7DA1" w:rsidR="000459BE" w:rsidP="000459BE" w:rsidRDefault="000459BE" w14:paraId="0245AB02" w14:textId="53BB1B5D">
            <w:pPr>
              <w:spacing w:after="240"/>
            </w:pPr>
            <w:r w:rsidRPr="00ED7DA1">
              <w:t xml:space="preserve">(4) Disclose, under the caption </w:t>
            </w:r>
            <w:r w:rsidRPr="005C0891">
              <w:rPr>
                <w:b/>
                <w:bCs/>
                <w:i/>
                <w:iCs/>
              </w:rPr>
              <w:t>All Other Fees</w:t>
            </w:r>
            <w:r w:rsidRPr="00ED7DA1">
              <w:rPr>
                <w:i/>
                <w:iCs/>
              </w:rPr>
              <w:t>,</w:t>
            </w:r>
            <w:r w:rsidRPr="00ED7DA1">
              <w:t xml:space="preserve"> the aggregate fees billed in each of the last two fiscal years for products and services provided by the principal accountant, other than the services reported in </w:t>
            </w:r>
            <w:hyperlink w:history="1" w:anchor="p-240.14a-101(e)(1)" r:id="rId114">
              <w:r w:rsidRPr="00ED7DA1">
                <w:rPr>
                  <w:rStyle w:val="Hyperlink"/>
                </w:rPr>
                <w:t>paragraphs (e)(1)</w:t>
              </w:r>
            </w:hyperlink>
            <w:r w:rsidRPr="00ED7DA1">
              <w:t xml:space="preserve"> through </w:t>
            </w:r>
            <w:hyperlink w:history="1" w:anchor="p-240.14a-101(e)(3)" r:id="rId115">
              <w:r w:rsidRPr="00ED7DA1">
                <w:rPr>
                  <w:rStyle w:val="Hyperlink"/>
                </w:rPr>
                <w:t>(e)(3)</w:t>
              </w:r>
            </w:hyperlink>
            <w:r w:rsidRPr="00ED7DA1">
              <w:t xml:space="preserve"> of </w:t>
            </w:r>
            <w:r>
              <w:t>Item 9</w:t>
            </w:r>
            <w:r w:rsidRPr="00ED7DA1">
              <w:t xml:space="preserve">. </w:t>
            </w:r>
            <w:r>
              <w:t>Companies</w:t>
            </w:r>
            <w:r w:rsidRPr="00ED7DA1">
              <w:t xml:space="preserve"> shall describe the nature of the services comprising the fees disclosed under this category. </w:t>
            </w:r>
          </w:p>
        </w:tc>
        <w:tc>
          <w:tcPr>
            <w:tcW w:w="931" w:type="pct"/>
          </w:tcPr>
          <w:p w:rsidRPr="00414307" w:rsidR="000459BE" w:rsidP="000459BE" w:rsidRDefault="000459BE" w14:paraId="45BE0EA5" w14:textId="77777777">
            <w:pPr>
              <w:spacing w:after="240"/>
              <w:rPr>
                <w:b/>
                <w:bCs/>
                <w:i/>
                <w:iCs/>
              </w:rPr>
            </w:pPr>
          </w:p>
        </w:tc>
        <w:tc>
          <w:tcPr>
            <w:tcW w:w="561" w:type="pct"/>
          </w:tcPr>
          <w:p w:rsidRPr="007E0B55" w:rsidR="000459BE" w:rsidP="000459BE" w:rsidRDefault="000459BE" w14:paraId="27449C26" w14:textId="77777777">
            <w:pPr>
              <w:spacing w:after="240"/>
              <w:contextualSpacing/>
              <w:rPr>
                <w:sz w:val="20"/>
              </w:rPr>
            </w:pPr>
          </w:p>
        </w:tc>
        <w:tc>
          <w:tcPr>
            <w:tcW w:w="344" w:type="pct"/>
            <w:vAlign w:val="center"/>
          </w:tcPr>
          <w:p w:rsidRPr="00E47B30" w:rsidR="000459BE" w:rsidP="000459BE" w:rsidRDefault="000459BE" w14:paraId="486A974B"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0E271DDF" w14:textId="3C3B0125">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7A807BB5" w14:textId="77777777">
        <w:trPr>
          <w:cantSplit/>
          <w:jc w:val="center"/>
        </w:trPr>
        <w:tc>
          <w:tcPr>
            <w:tcW w:w="690" w:type="pct"/>
          </w:tcPr>
          <w:p w:rsidRPr="00ED7DA1" w:rsidR="000459BE" w:rsidP="000459BE" w:rsidRDefault="000459BE" w14:paraId="057C8106" w14:textId="3918A4FB">
            <w:r>
              <w:lastRenderedPageBreak/>
              <w:t>[Audit Committee Pre-Approval Policies]</w:t>
            </w:r>
          </w:p>
        </w:tc>
        <w:tc>
          <w:tcPr>
            <w:tcW w:w="523" w:type="pct"/>
          </w:tcPr>
          <w:p w:rsidRPr="00E47B30" w:rsidR="000459BE" w:rsidP="000459BE" w:rsidRDefault="000459BE" w14:paraId="146E6C05" w14:textId="77777777">
            <w:pPr>
              <w:jc w:val="center"/>
            </w:pPr>
          </w:p>
        </w:tc>
        <w:tc>
          <w:tcPr>
            <w:tcW w:w="1951" w:type="pct"/>
          </w:tcPr>
          <w:p w:rsidRPr="00ED7DA1" w:rsidR="000459BE" w:rsidP="000459BE" w:rsidRDefault="000459BE" w14:paraId="08D7A429" w14:textId="0AF4E4C7">
            <w:pPr>
              <w:spacing w:after="240"/>
            </w:pPr>
            <w:r w:rsidRPr="00ED7DA1">
              <w:t>(5)(</w:t>
            </w:r>
            <w:proofErr w:type="spellStart"/>
            <w:r w:rsidRPr="00ED7DA1">
              <w:t>i</w:t>
            </w:r>
            <w:proofErr w:type="spellEnd"/>
            <w:r w:rsidRPr="00ED7DA1">
              <w:t>) Disclose the audit committee</w:t>
            </w:r>
            <w:r>
              <w:t>’</w:t>
            </w:r>
            <w:r w:rsidRPr="00ED7DA1">
              <w:t xml:space="preserve">s pre-approval policies and procedures described in </w:t>
            </w:r>
            <w:hyperlink w:history="1" w:anchor="p-210.2-01(c)(7)(i)" r:id="rId116">
              <w:r>
                <w:rPr>
                  <w:rStyle w:val="Hyperlink"/>
                </w:rPr>
                <w:t xml:space="preserve">Regulation S-X Rule </w:t>
              </w:r>
              <w:r w:rsidRPr="00ED7DA1">
                <w:rPr>
                  <w:rStyle w:val="Hyperlink"/>
                </w:rPr>
                <w:t>2-01(c)(7)(</w:t>
              </w:r>
              <w:proofErr w:type="spellStart"/>
              <w:r w:rsidRPr="00ED7DA1">
                <w:rPr>
                  <w:rStyle w:val="Hyperlink"/>
                </w:rPr>
                <w:t>i</w:t>
              </w:r>
              <w:proofErr w:type="spellEnd"/>
              <w:r w:rsidRPr="00ED7DA1">
                <w:rPr>
                  <w:rStyle w:val="Hyperlink"/>
                </w:rPr>
                <w:t>)</w:t>
              </w:r>
            </w:hyperlink>
            <w:r w:rsidRPr="00ED7DA1">
              <w:t xml:space="preserve">. </w:t>
            </w:r>
          </w:p>
          <w:p w:rsidRPr="00ED7DA1" w:rsidR="000459BE" w:rsidP="000459BE" w:rsidRDefault="000459BE" w14:paraId="6B32AF11" w14:textId="1F718B3B">
            <w:pPr>
              <w:spacing w:after="240"/>
            </w:pPr>
            <w:r w:rsidRPr="00ED7DA1">
              <w:t xml:space="preserve">(ii) Disclose the percentage of services described in each of </w:t>
            </w:r>
            <w:hyperlink w:history="1" w:anchor="p-240.14a-101(e)(2)" r:id="rId117">
              <w:r w:rsidRPr="00ED7DA1">
                <w:rPr>
                  <w:rStyle w:val="Hyperlink"/>
                </w:rPr>
                <w:t>paragraphs (e)(2)</w:t>
              </w:r>
            </w:hyperlink>
            <w:r w:rsidRPr="00ED7DA1">
              <w:t xml:space="preserve"> through </w:t>
            </w:r>
            <w:hyperlink w:history="1" w:anchor="p-240.14a-101(e)(4)" r:id="rId118">
              <w:r w:rsidRPr="00ED7DA1">
                <w:rPr>
                  <w:rStyle w:val="Hyperlink"/>
                </w:rPr>
                <w:t>(e)(4)</w:t>
              </w:r>
            </w:hyperlink>
            <w:r w:rsidRPr="00ED7DA1">
              <w:t xml:space="preserve"> of </w:t>
            </w:r>
            <w:r>
              <w:t>Item 9 that</w:t>
            </w:r>
            <w:r w:rsidRPr="00ED7DA1">
              <w:t xml:space="preserve"> were approved by the audit committee pursuant to </w:t>
            </w:r>
            <w:hyperlink w:history="1" w:anchor="p-210.2-01(c)(7)(i)(C)" r:id="rId119">
              <w:r>
                <w:rPr>
                  <w:rStyle w:val="Hyperlink"/>
                </w:rPr>
                <w:t xml:space="preserve">Regulation S-X Rule </w:t>
              </w:r>
              <w:r w:rsidRPr="00ED7DA1">
                <w:rPr>
                  <w:rStyle w:val="Hyperlink"/>
                </w:rPr>
                <w:t>2-01(c)(7)(</w:t>
              </w:r>
              <w:proofErr w:type="spellStart"/>
              <w:r w:rsidRPr="00ED7DA1">
                <w:rPr>
                  <w:rStyle w:val="Hyperlink"/>
                </w:rPr>
                <w:t>i</w:t>
              </w:r>
              <w:proofErr w:type="spellEnd"/>
              <w:r w:rsidRPr="00ED7DA1">
                <w:rPr>
                  <w:rStyle w:val="Hyperlink"/>
                </w:rPr>
                <w:t>)(C)</w:t>
              </w:r>
            </w:hyperlink>
            <w:r w:rsidRPr="00ED7DA1">
              <w:t>.</w:t>
            </w:r>
          </w:p>
        </w:tc>
        <w:tc>
          <w:tcPr>
            <w:tcW w:w="931" w:type="pct"/>
          </w:tcPr>
          <w:p w:rsidRPr="00414307" w:rsidR="000459BE" w:rsidP="000459BE" w:rsidRDefault="000459BE" w14:paraId="1273024F" w14:textId="77777777">
            <w:pPr>
              <w:spacing w:after="240"/>
              <w:rPr>
                <w:b/>
                <w:bCs/>
                <w:i/>
                <w:iCs/>
              </w:rPr>
            </w:pPr>
          </w:p>
        </w:tc>
        <w:tc>
          <w:tcPr>
            <w:tcW w:w="561" w:type="pct"/>
          </w:tcPr>
          <w:p w:rsidRPr="007E0B55" w:rsidR="000459BE" w:rsidP="000459BE" w:rsidRDefault="000459BE" w14:paraId="612C5029" w14:textId="77777777">
            <w:pPr>
              <w:spacing w:after="240"/>
              <w:contextualSpacing/>
              <w:rPr>
                <w:sz w:val="20"/>
              </w:rPr>
            </w:pPr>
          </w:p>
        </w:tc>
        <w:tc>
          <w:tcPr>
            <w:tcW w:w="344" w:type="pct"/>
            <w:vAlign w:val="center"/>
          </w:tcPr>
          <w:p w:rsidRPr="00E47B30" w:rsidR="000459BE" w:rsidP="000459BE" w:rsidRDefault="000459BE" w14:paraId="3D2144B0"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7C0C2F53" w14:textId="4054D786">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05C671ED" w14:textId="77777777">
        <w:trPr>
          <w:cantSplit/>
          <w:jc w:val="center"/>
        </w:trPr>
        <w:tc>
          <w:tcPr>
            <w:tcW w:w="690" w:type="pct"/>
          </w:tcPr>
          <w:p w:rsidRPr="00ED7DA1" w:rsidR="000459BE" w:rsidP="000459BE" w:rsidRDefault="000459BE" w14:paraId="2AC025C7" w14:textId="77777777"/>
        </w:tc>
        <w:tc>
          <w:tcPr>
            <w:tcW w:w="523" w:type="pct"/>
          </w:tcPr>
          <w:p w:rsidRPr="00E47B30" w:rsidR="000459BE" w:rsidP="000459BE" w:rsidRDefault="000459BE" w14:paraId="2876065B" w14:textId="77777777">
            <w:pPr>
              <w:jc w:val="center"/>
            </w:pPr>
          </w:p>
        </w:tc>
        <w:tc>
          <w:tcPr>
            <w:tcW w:w="1951" w:type="pct"/>
          </w:tcPr>
          <w:p w:rsidRPr="00ED7DA1" w:rsidR="000459BE" w:rsidP="000459BE" w:rsidRDefault="000459BE" w14:paraId="52DE9A56" w14:textId="5C9C96EB">
            <w:pPr>
              <w:spacing w:after="240"/>
            </w:pPr>
            <w:r w:rsidRPr="00ED7DA1">
              <w:t>(6) If greater than 50 percent, disclose the percentage of hours expended on the principal accountant</w:t>
            </w:r>
            <w:r>
              <w:t>’</w:t>
            </w:r>
            <w:r w:rsidRPr="00ED7DA1">
              <w:t xml:space="preserve">s engagement to audit the </w:t>
            </w:r>
            <w:r>
              <w:t>company’</w:t>
            </w:r>
            <w:r w:rsidRPr="00ED7DA1">
              <w:t>s financial statements for the most recent fiscal year that were attributed to work performed by persons other than the principal accountant</w:t>
            </w:r>
            <w:r>
              <w:t>’</w:t>
            </w:r>
            <w:r w:rsidRPr="00ED7DA1">
              <w:t>s full-time, permanent employees</w:t>
            </w:r>
            <w:r>
              <w:t>.</w:t>
            </w:r>
          </w:p>
        </w:tc>
        <w:tc>
          <w:tcPr>
            <w:tcW w:w="931" w:type="pct"/>
          </w:tcPr>
          <w:p w:rsidRPr="00414307" w:rsidR="000459BE" w:rsidP="000459BE" w:rsidRDefault="000459BE" w14:paraId="40D3C7CF" w14:textId="77777777">
            <w:pPr>
              <w:spacing w:after="240"/>
              <w:rPr>
                <w:b/>
                <w:bCs/>
                <w:i/>
                <w:iCs/>
              </w:rPr>
            </w:pPr>
          </w:p>
        </w:tc>
        <w:tc>
          <w:tcPr>
            <w:tcW w:w="561" w:type="pct"/>
          </w:tcPr>
          <w:p w:rsidRPr="007E0B55" w:rsidR="000459BE" w:rsidP="000459BE" w:rsidRDefault="000459BE" w14:paraId="17A51FA0" w14:textId="77777777">
            <w:pPr>
              <w:spacing w:after="240"/>
              <w:contextualSpacing/>
              <w:rPr>
                <w:sz w:val="20"/>
              </w:rPr>
            </w:pPr>
          </w:p>
        </w:tc>
        <w:tc>
          <w:tcPr>
            <w:tcW w:w="344" w:type="pct"/>
            <w:vAlign w:val="center"/>
          </w:tcPr>
          <w:p w:rsidRPr="00E47B30" w:rsidR="000459BE" w:rsidP="000459BE" w:rsidRDefault="000459BE" w14:paraId="6974BFA5"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34BB0548" w14:textId="3EE91F51">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670C9F49" w14:textId="77777777">
        <w:trPr>
          <w:cantSplit/>
          <w:jc w:val="center"/>
        </w:trPr>
        <w:tc>
          <w:tcPr>
            <w:tcW w:w="5000" w:type="pct"/>
            <w:gridSpan w:val="6"/>
            <w:shd w:val="clear" w:color="auto" w:fill="D9D9D9" w:themeFill="background1" w:themeFillShade="D9"/>
          </w:tcPr>
          <w:p w:rsidRPr="009A1E8C" w:rsidR="000459BE" w:rsidP="000459BE" w:rsidRDefault="000459BE" w14:paraId="7E1E2F61" w14:textId="312B530F">
            <w:pPr>
              <w:spacing w:after="0"/>
              <w:rPr>
                <w:b/>
                <w:bCs/>
                <w:szCs w:val="22"/>
              </w:rPr>
            </w:pPr>
            <w:r>
              <w:rPr>
                <w:b/>
                <w:bCs/>
                <w:szCs w:val="22"/>
              </w:rPr>
              <w:t>Item 10. Compensation Plans</w:t>
            </w:r>
          </w:p>
        </w:tc>
      </w:tr>
      <w:tr w:rsidRPr="00E47B30" w:rsidR="000459BE" w:rsidTr="00E708F1" w14:paraId="2A5D9502" w14:textId="77777777">
        <w:trPr>
          <w:cantSplit/>
          <w:jc w:val="center"/>
        </w:trPr>
        <w:tc>
          <w:tcPr>
            <w:tcW w:w="690" w:type="pct"/>
            <w:shd w:val="clear" w:color="auto" w:fill="auto"/>
          </w:tcPr>
          <w:p w:rsidRPr="00E47B30" w:rsidR="000459BE" w:rsidP="000459BE" w:rsidRDefault="000459BE" w14:paraId="76DE09E6" w14:textId="77777777">
            <w:r w:rsidRPr="00E47B30">
              <w:t>Item 10. Compensation Plans</w:t>
            </w:r>
          </w:p>
        </w:tc>
        <w:tc>
          <w:tcPr>
            <w:tcW w:w="523" w:type="pct"/>
            <w:shd w:val="clear" w:color="auto" w:fill="auto"/>
          </w:tcPr>
          <w:p w:rsidRPr="00E47B30" w:rsidR="000459BE" w:rsidP="000459BE" w:rsidRDefault="000459BE" w14:paraId="3F2EA5D4" w14:textId="77777777">
            <w:pPr>
              <w:pStyle w:val="BodyText"/>
              <w:spacing w:after="120"/>
              <w:jc w:val="center"/>
            </w:pPr>
          </w:p>
        </w:tc>
        <w:tc>
          <w:tcPr>
            <w:tcW w:w="1951" w:type="pct"/>
            <w:shd w:val="clear" w:color="auto" w:fill="auto"/>
          </w:tcPr>
          <w:p w:rsidRPr="00197322" w:rsidR="000459BE" w:rsidP="000459BE" w:rsidRDefault="000459BE" w14:paraId="7B9C97CB" w14:textId="173D9E63">
            <w:pPr>
              <w:spacing w:after="240"/>
              <w:rPr>
                <w:b/>
                <w:color w:val="000000"/>
              </w:rPr>
            </w:pPr>
            <w:r>
              <w:rPr>
                <w:b/>
                <w:color w:val="000000"/>
              </w:rPr>
              <w:t xml:space="preserve">Item 10 disclosure </w:t>
            </w:r>
            <w:r w:rsidRPr="00197322">
              <w:rPr>
                <w:b/>
                <w:color w:val="000000"/>
              </w:rPr>
              <w:t>is required only if stockholders will take action with respect to any plan pursuant to which cash or noncash compensation may be paid or distributed.</w:t>
            </w:r>
          </w:p>
          <w:p w:rsidR="000459BE" w:rsidP="000459BE" w:rsidRDefault="000459BE" w14:paraId="2A92F243" w14:textId="77777777">
            <w:pPr>
              <w:spacing w:after="240"/>
              <w:rPr>
                <w:rFonts w:cs="Arial"/>
                <w:b/>
                <w:color w:val="000000"/>
              </w:rPr>
            </w:pPr>
            <w:r>
              <w:rPr>
                <w:rFonts w:cs="Arial"/>
                <w:b/>
                <w:color w:val="000000"/>
              </w:rPr>
              <w:t xml:space="preserve">In addition, </w:t>
            </w:r>
            <w:r w:rsidRPr="00197322">
              <w:rPr>
                <w:rFonts w:cs="Arial"/>
                <w:b/>
                <w:color w:val="000000"/>
              </w:rPr>
              <w:t>NYSE and Nasdaq rules require stockholder approval of most new equity compensation plans and material amendments to existing plans.</w:t>
            </w:r>
          </w:p>
          <w:p w:rsidRPr="00197322" w:rsidR="000459BE" w:rsidP="000459BE" w:rsidRDefault="000459BE" w14:paraId="3E83073C" w14:textId="599E5DD7">
            <w:pPr>
              <w:spacing w:after="240"/>
              <w:rPr>
                <w:rFonts w:cs="Arial"/>
                <w:b/>
                <w:color w:val="000000"/>
              </w:rPr>
            </w:pPr>
            <w:r>
              <w:rPr>
                <w:rFonts w:cs="Arial"/>
                <w:b/>
                <w:color w:val="000000"/>
              </w:rPr>
              <w:t>The disclosure required by Regulation S-K Item 201(d) is often included in the proxy statement and incorporated by reference into the company’s Form 10-K report. Requirements applicable in this case are discussed immediately below.</w:t>
            </w:r>
          </w:p>
        </w:tc>
        <w:tc>
          <w:tcPr>
            <w:tcW w:w="931" w:type="pct"/>
          </w:tcPr>
          <w:p w:rsidRPr="00414307" w:rsidR="000459BE" w:rsidP="000459BE" w:rsidRDefault="000459BE" w14:paraId="43B9585F" w14:textId="77777777">
            <w:pPr>
              <w:spacing w:after="240"/>
              <w:rPr>
                <w:b/>
                <w:color w:val="000000"/>
              </w:rPr>
            </w:pPr>
          </w:p>
        </w:tc>
        <w:tc>
          <w:tcPr>
            <w:tcW w:w="561" w:type="pct"/>
          </w:tcPr>
          <w:p w:rsidRPr="007E0B55" w:rsidR="000459BE" w:rsidP="000459BE" w:rsidRDefault="000459BE" w14:paraId="38800A9B" w14:textId="77777777">
            <w:pPr>
              <w:spacing w:after="240"/>
              <w:contextualSpacing/>
              <w:rPr>
                <w:b/>
                <w:color w:val="000000"/>
                <w:sz w:val="20"/>
              </w:rPr>
            </w:pPr>
          </w:p>
        </w:tc>
        <w:tc>
          <w:tcPr>
            <w:tcW w:w="344" w:type="pct"/>
            <w:vAlign w:val="center"/>
          </w:tcPr>
          <w:p w:rsidRPr="00E47B30" w:rsidR="000459BE" w:rsidP="000459BE" w:rsidRDefault="000459BE" w14:paraId="2BC3C8E4"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2323AAD6" w14:textId="10FE8F39">
            <w:pPr>
              <w:spacing w:after="0"/>
              <w:jc w:val="center"/>
              <w:rPr>
                <w:b/>
                <w:color w:val="000000"/>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52665031" w14:textId="77777777">
        <w:trPr>
          <w:cantSplit/>
          <w:jc w:val="center"/>
        </w:trPr>
        <w:tc>
          <w:tcPr>
            <w:tcW w:w="690" w:type="pct"/>
          </w:tcPr>
          <w:p w:rsidRPr="007C0A13" w:rsidR="000459BE" w:rsidP="000459BE" w:rsidRDefault="000459BE" w14:paraId="2DA64501" w14:textId="16F2ED94">
            <w:pPr>
              <w:rPr>
                <w:rFonts w:cs="Arial"/>
                <w:iCs/>
              </w:rPr>
            </w:pPr>
            <w:r>
              <w:rPr>
                <w:rFonts w:cs="Arial"/>
                <w:iCs/>
              </w:rPr>
              <w:lastRenderedPageBreak/>
              <w:t>[Equity Compensation Table]</w:t>
            </w:r>
          </w:p>
        </w:tc>
        <w:tc>
          <w:tcPr>
            <w:tcW w:w="523" w:type="pct"/>
          </w:tcPr>
          <w:p w:rsidRPr="00E47B30" w:rsidR="000459BE" w:rsidP="000459BE" w:rsidRDefault="000459BE" w14:paraId="5EB2074F" w14:textId="06E0D2CD">
            <w:pPr>
              <w:pStyle w:val="BodyText"/>
              <w:spacing w:after="120"/>
              <w:jc w:val="center"/>
            </w:pPr>
            <w:r w:rsidRPr="00E47B30">
              <w:t xml:space="preserve">S-K Item </w:t>
            </w:r>
            <w:hyperlink w:history="1" w:anchor="p-229.304(a)" r:id="rId120">
              <w:r w:rsidRPr="00E47B30">
                <w:rPr>
                  <w:rStyle w:val="Hyperlink"/>
                </w:rPr>
                <w:t>201(d)</w:t>
              </w:r>
            </w:hyperlink>
          </w:p>
        </w:tc>
        <w:tc>
          <w:tcPr>
            <w:tcW w:w="1951" w:type="pct"/>
          </w:tcPr>
          <w:p w:rsidR="000459BE" w:rsidP="000459BE" w:rsidRDefault="000459BE" w14:paraId="2E9B6AFB" w14:textId="57B434F6">
            <w:pPr>
              <w:spacing w:after="240"/>
            </w:pPr>
            <w:r w:rsidRPr="00E47B30">
              <w:t xml:space="preserve">SEC rules require disclosure </w:t>
            </w:r>
            <w:r>
              <w:t xml:space="preserve">under Regulation S-K Item 201(d) </w:t>
            </w:r>
            <w:r w:rsidRPr="00E47B30">
              <w:t>concerning existing equity compensation plans</w:t>
            </w:r>
            <w:r>
              <w:t xml:space="preserve"> in the company’s annual report on </w:t>
            </w:r>
            <w:r w:rsidRPr="00E47B30">
              <w:t>Form 10</w:t>
            </w:r>
            <w:r w:rsidRPr="00E47B30">
              <w:noBreakHyphen/>
              <w:t>K</w:t>
            </w:r>
            <w:r>
              <w:t>.</w:t>
            </w:r>
          </w:p>
          <w:p w:rsidRPr="00B96D68" w:rsidR="000459BE" w:rsidP="000459BE" w:rsidRDefault="000459BE" w14:paraId="0465E8AE" w14:textId="180E3A45">
            <w:pPr>
              <w:spacing w:after="240"/>
            </w:pPr>
            <w:r w:rsidRPr="00B96D68">
              <w:t xml:space="preserve">If the </w:t>
            </w:r>
            <w:r>
              <w:rPr>
                <w:rFonts w:cs="Arial"/>
                <w:iCs/>
              </w:rPr>
              <w:t>comp</w:t>
            </w:r>
            <w:r w:rsidRPr="00B96D68">
              <w:rPr>
                <w:rFonts w:cs="Arial"/>
                <w:iCs/>
              </w:rPr>
              <w:t xml:space="preserve">any submits a compensation plan for approval, the </w:t>
            </w:r>
            <w:r>
              <w:rPr>
                <w:rFonts w:cs="Arial"/>
                <w:iCs/>
              </w:rPr>
              <w:t>equity compensation t</w:t>
            </w:r>
            <w:r w:rsidRPr="00B96D68">
              <w:rPr>
                <w:rFonts w:cs="Arial"/>
                <w:iCs/>
              </w:rPr>
              <w:t>able is required in the proxy statement</w:t>
            </w:r>
            <w:r>
              <w:rPr>
                <w:rFonts w:cs="Arial"/>
                <w:iCs/>
              </w:rPr>
              <w:t>.</w:t>
            </w:r>
          </w:p>
          <w:p w:rsidR="000459BE" w:rsidP="000459BE" w:rsidRDefault="000459BE" w14:paraId="3330EA28" w14:textId="46C92BB6">
            <w:pPr>
              <w:spacing w:after="240"/>
              <w:rPr>
                <w:rFonts w:cs="Arial"/>
                <w:iCs/>
              </w:rPr>
            </w:pPr>
            <w:r w:rsidRPr="002A0256">
              <w:rPr>
                <w:rFonts w:cs="Arial"/>
                <w:iCs/>
              </w:rPr>
              <w:t>In either case, the SEC permits the company to satisfy the Form 10</w:t>
            </w:r>
            <w:r w:rsidRPr="002A0256">
              <w:rPr>
                <w:rFonts w:cs="Arial"/>
                <w:iCs/>
              </w:rPr>
              <w:noBreakHyphen/>
              <w:t xml:space="preserve">K requirement by incorporating this disclosure from its definitive proxy statement if it </w:t>
            </w:r>
            <w:r>
              <w:rPr>
                <w:rFonts w:cs="Arial"/>
                <w:iCs/>
              </w:rPr>
              <w:t>is filed no</w:t>
            </w:r>
            <w:r w:rsidRPr="002A0256">
              <w:rPr>
                <w:rFonts w:cs="Arial"/>
                <w:iCs/>
              </w:rPr>
              <w:t xml:space="preserve"> later than 120 days after the end of the fiscal year covered by the Form 10</w:t>
            </w:r>
            <w:r w:rsidRPr="002A0256">
              <w:rPr>
                <w:rFonts w:cs="Arial"/>
                <w:iCs/>
              </w:rPr>
              <w:noBreakHyphen/>
              <w:t>K.</w:t>
            </w:r>
          </w:p>
          <w:p w:rsidR="000459BE" w:rsidP="000459BE" w:rsidRDefault="000459BE" w14:paraId="05037491" w14:textId="132BAF87">
            <w:pPr>
              <w:spacing w:after="240"/>
              <w:rPr>
                <w:rFonts w:cs="Arial"/>
                <w:i/>
              </w:rPr>
            </w:pPr>
            <w:r>
              <w:rPr>
                <w:rFonts w:cs="Arial"/>
                <w:i/>
              </w:rPr>
              <w:t>Review the company’s Form 10-K and proxy statement; confirm that:</w:t>
            </w:r>
          </w:p>
          <w:p w:rsidR="000459BE" w:rsidP="000459BE" w:rsidRDefault="000459BE" w14:paraId="175D39BA" w14:textId="77777777">
            <w:pPr>
              <w:spacing w:after="240"/>
              <w:rPr>
                <w:rFonts w:cs="Arial"/>
                <w:i/>
              </w:rPr>
            </w:pPr>
            <w:r>
              <w:rPr>
                <w:rFonts w:cs="Arial"/>
                <w:i/>
              </w:rPr>
              <w:t xml:space="preserve">1. The Form 10-K includes the equity compensation table and complies with applicable disclosure requirements; </w:t>
            </w:r>
            <w:r w:rsidRPr="008935E3">
              <w:rPr>
                <w:rFonts w:cs="Arial"/>
                <w:b/>
                <w:bCs/>
                <w:i/>
                <w:sz w:val="24"/>
                <w:szCs w:val="24"/>
              </w:rPr>
              <w:t>or</w:t>
            </w:r>
          </w:p>
          <w:p w:rsidR="000459BE" w:rsidP="000459BE" w:rsidRDefault="000459BE" w14:paraId="39533496" w14:textId="410E162F">
            <w:pPr>
              <w:spacing w:after="240"/>
              <w:rPr>
                <w:rFonts w:cs="Arial"/>
                <w:i/>
              </w:rPr>
            </w:pPr>
            <w:r>
              <w:rPr>
                <w:rFonts w:cs="Arial"/>
                <w:i/>
              </w:rPr>
              <w:t xml:space="preserve">2. The Form 10-K incorporates by reference the table in Part III from the company’s definitive proxy statement, which will be filed within 120 days after the end of the company’s fiscal year, and the table in the proxy statement complies with applicable disclosure requirements; </w:t>
            </w:r>
            <w:r w:rsidRPr="008935E3">
              <w:rPr>
                <w:rFonts w:cs="Arial"/>
                <w:b/>
                <w:bCs/>
                <w:i/>
                <w:sz w:val="24"/>
                <w:szCs w:val="24"/>
              </w:rPr>
              <w:t>and</w:t>
            </w:r>
          </w:p>
          <w:p w:rsidRPr="00B96D68" w:rsidR="000459BE" w:rsidP="000459BE" w:rsidRDefault="000459BE" w14:paraId="379AD6ED" w14:textId="7C140218">
            <w:pPr>
              <w:spacing w:after="240"/>
              <w:rPr>
                <w:rFonts w:cs="Arial"/>
                <w:i/>
              </w:rPr>
            </w:pPr>
            <w:r>
              <w:rPr>
                <w:rFonts w:cs="Arial"/>
                <w:i/>
              </w:rPr>
              <w:t xml:space="preserve">3. If the company is submitting a compensation plan for approval by security holders, the proxy statement complies with the requirements of Item 10 of Schedule 14A </w:t>
            </w:r>
            <w:r w:rsidRPr="008935E3">
              <w:rPr>
                <w:rFonts w:cs="Arial"/>
                <w:b/>
                <w:bCs/>
                <w:i/>
                <w:sz w:val="24"/>
                <w:szCs w:val="24"/>
              </w:rPr>
              <w:t>and</w:t>
            </w:r>
            <w:r>
              <w:rPr>
                <w:rFonts w:cs="Arial"/>
                <w:b/>
                <w:bCs/>
                <w:i/>
              </w:rPr>
              <w:t>,</w:t>
            </w:r>
            <w:r>
              <w:rPr>
                <w:rFonts w:cs="Arial"/>
                <w:i/>
              </w:rPr>
              <w:t xml:space="preserve"> if the company is listed on the NYSE or Nasdaq stock exchange, the proxy statement also complies with applicable stock exchange requirements. </w:t>
            </w:r>
          </w:p>
        </w:tc>
        <w:tc>
          <w:tcPr>
            <w:tcW w:w="931" w:type="pct"/>
          </w:tcPr>
          <w:p w:rsidRPr="00414307" w:rsidR="000459BE" w:rsidP="000459BE" w:rsidRDefault="000459BE" w14:paraId="4A341950" w14:textId="4A8BF14C">
            <w:pPr>
              <w:spacing w:after="240"/>
            </w:pPr>
            <w:r w:rsidRPr="00414307">
              <w:t xml:space="preserve">Plan disclosure is complex and has given rise to much litigation in recent years. </w:t>
            </w:r>
            <w:r>
              <w:t>If a new plan is submitted for security holder approval, the disclosure should be reviewed by a member of outside counsel’s executive compensation group who is familiar with the plan.</w:t>
            </w:r>
          </w:p>
        </w:tc>
        <w:tc>
          <w:tcPr>
            <w:tcW w:w="561" w:type="pct"/>
          </w:tcPr>
          <w:p w:rsidRPr="007E0B55" w:rsidR="000459BE" w:rsidP="000459BE" w:rsidRDefault="000459BE" w14:paraId="4BBBFC63" w14:textId="77777777">
            <w:pPr>
              <w:spacing w:after="240"/>
              <w:contextualSpacing/>
              <w:rPr>
                <w:sz w:val="20"/>
              </w:rPr>
            </w:pPr>
          </w:p>
        </w:tc>
        <w:tc>
          <w:tcPr>
            <w:tcW w:w="344" w:type="pct"/>
            <w:vAlign w:val="center"/>
          </w:tcPr>
          <w:p w:rsidRPr="00E47B30" w:rsidR="000459BE" w:rsidP="000459BE" w:rsidRDefault="000459BE" w14:paraId="10C9409F"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05CE3224" w14:textId="13C0CF1C">
            <w:pPr>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43868B29" w14:textId="77777777">
        <w:trPr>
          <w:cantSplit/>
          <w:jc w:val="center"/>
        </w:trPr>
        <w:tc>
          <w:tcPr>
            <w:tcW w:w="5000" w:type="pct"/>
            <w:gridSpan w:val="6"/>
            <w:shd w:val="clear" w:color="auto" w:fill="F7941D"/>
          </w:tcPr>
          <w:p w:rsidRPr="007E0B55" w:rsidR="000459BE" w:rsidP="000459BE" w:rsidRDefault="000459BE" w14:paraId="21793F85" w14:textId="05D5E85A">
            <w:pPr>
              <w:spacing w:after="240"/>
              <w:contextualSpacing/>
              <w:jc w:val="center"/>
              <w:rPr>
                <w:sz w:val="20"/>
              </w:rPr>
            </w:pPr>
            <w:r w:rsidRPr="007E0B55">
              <w:rPr>
                <w:b/>
                <w:bCs/>
                <w:sz w:val="20"/>
              </w:rPr>
              <w:t xml:space="preserve">NYSE/Nasdaq Additional Required Disclosure </w:t>
            </w:r>
          </w:p>
        </w:tc>
      </w:tr>
      <w:tr w:rsidRPr="00E47B30" w:rsidR="000459BE" w:rsidTr="00E708F1" w14:paraId="4F05D0B9" w14:textId="77777777">
        <w:trPr>
          <w:cantSplit/>
          <w:jc w:val="center"/>
        </w:trPr>
        <w:tc>
          <w:tcPr>
            <w:tcW w:w="5000" w:type="pct"/>
            <w:gridSpan w:val="6"/>
          </w:tcPr>
          <w:p w:rsidRPr="007E0B55" w:rsidR="000459BE" w:rsidP="000459BE" w:rsidRDefault="000459BE" w14:paraId="5D7AE73C" w14:textId="2955DF68">
            <w:pPr>
              <w:spacing w:after="240"/>
              <w:contextualSpacing/>
              <w:rPr>
                <w:sz w:val="20"/>
              </w:rPr>
            </w:pPr>
            <w:r w:rsidRPr="007E0B55">
              <w:rPr>
                <w:rFonts w:cs="Arial"/>
                <w:b/>
                <w:bCs/>
                <w:i/>
                <w:iCs/>
                <w:color w:val="000000"/>
                <w:sz w:val="20"/>
              </w:rPr>
              <w:lastRenderedPageBreak/>
              <w:t xml:space="preserve">NYSE and Nasdaq </w:t>
            </w:r>
            <w:r>
              <w:rPr>
                <w:rFonts w:cs="Arial"/>
                <w:b/>
                <w:bCs/>
                <w:i/>
                <w:iCs/>
                <w:color w:val="000000"/>
                <w:sz w:val="20"/>
              </w:rPr>
              <w:t>listing standards</w:t>
            </w:r>
            <w:r w:rsidRPr="007E0B55">
              <w:rPr>
                <w:rFonts w:cs="Arial"/>
                <w:b/>
                <w:bCs/>
                <w:i/>
                <w:iCs/>
                <w:color w:val="000000"/>
                <w:sz w:val="20"/>
              </w:rPr>
              <w:t xml:space="preserve"> require specified disclosure concerning corporate governance matters in certain circumstances. The disclosures may be required in the company</w:t>
            </w:r>
            <w:r>
              <w:rPr>
                <w:rFonts w:cs="Arial"/>
                <w:b/>
                <w:bCs/>
                <w:i/>
                <w:iCs/>
                <w:color w:val="000000"/>
                <w:sz w:val="20"/>
              </w:rPr>
              <w:t>’</w:t>
            </w:r>
            <w:r w:rsidRPr="007E0B55">
              <w:rPr>
                <w:rFonts w:cs="Arial"/>
                <w:b/>
                <w:bCs/>
                <w:i/>
                <w:iCs/>
                <w:color w:val="000000"/>
                <w:sz w:val="20"/>
              </w:rPr>
              <w:t>s proxy statement or, in some circumstances, in the company</w:t>
            </w:r>
            <w:r>
              <w:rPr>
                <w:rFonts w:cs="Arial"/>
                <w:b/>
                <w:bCs/>
                <w:i/>
                <w:iCs/>
                <w:color w:val="000000"/>
                <w:sz w:val="20"/>
              </w:rPr>
              <w:t>’</w:t>
            </w:r>
            <w:r w:rsidRPr="007E0B55">
              <w:rPr>
                <w:rFonts w:cs="Arial"/>
                <w:b/>
                <w:bCs/>
                <w:i/>
                <w:iCs/>
                <w:color w:val="000000"/>
                <w:sz w:val="20"/>
              </w:rPr>
              <w:t>s Form 10</w:t>
            </w:r>
            <w:r w:rsidRPr="007E0B55">
              <w:rPr>
                <w:rFonts w:cs="Arial"/>
                <w:b/>
                <w:bCs/>
                <w:i/>
                <w:iCs/>
                <w:color w:val="000000"/>
                <w:sz w:val="20"/>
              </w:rPr>
              <w:noBreakHyphen/>
              <w:t>K annual report. Amendments to NYSE and Nasdaq rules permit NYSE- and Nasdaq-listed companies to make some of these disclosures by website posting in lieu of including the disclosure in their proxy statements. Disclosures that are different from, or in addition to, SEC rules are summarized below.</w:t>
            </w:r>
          </w:p>
        </w:tc>
      </w:tr>
      <w:tr w:rsidRPr="00E47B30" w:rsidR="000459BE" w:rsidTr="00E708F1" w14:paraId="1C38BA8C" w14:textId="77777777">
        <w:trPr>
          <w:cantSplit/>
          <w:jc w:val="center"/>
        </w:trPr>
        <w:tc>
          <w:tcPr>
            <w:tcW w:w="5000" w:type="pct"/>
            <w:gridSpan w:val="6"/>
            <w:shd w:val="clear" w:color="auto" w:fill="BFBFBF" w:themeFill="background1" w:themeFillShade="BF"/>
          </w:tcPr>
          <w:p w:rsidRPr="000A4F3D" w:rsidR="000459BE" w:rsidP="000459BE" w:rsidRDefault="000459BE" w14:paraId="78BA4011" w14:textId="0BA02E79">
            <w:pPr>
              <w:spacing w:after="0"/>
              <w:rPr>
                <w:b/>
                <w:bCs/>
                <w:szCs w:val="22"/>
              </w:rPr>
            </w:pPr>
            <w:r>
              <w:rPr>
                <w:b/>
                <w:bCs/>
                <w:szCs w:val="22"/>
              </w:rPr>
              <w:t>NYSE</w:t>
            </w:r>
          </w:p>
        </w:tc>
      </w:tr>
      <w:tr w:rsidRPr="00E47B30" w:rsidR="000459BE" w:rsidTr="00E708F1" w14:paraId="10B4B18B" w14:textId="77777777">
        <w:trPr>
          <w:cantSplit/>
          <w:jc w:val="center"/>
        </w:trPr>
        <w:tc>
          <w:tcPr>
            <w:tcW w:w="690" w:type="pct"/>
            <w:shd w:val="clear" w:color="auto" w:fill="FFFFFF"/>
          </w:tcPr>
          <w:p w:rsidRPr="00E47B30" w:rsidR="000459BE" w:rsidP="000459BE" w:rsidRDefault="000459BE" w14:paraId="4F3AD767" w14:textId="191E6EF2">
            <w:pPr>
              <w:pStyle w:val="BodyText"/>
              <w:spacing w:after="120"/>
              <w:rPr>
                <w:b/>
                <w:bCs/>
              </w:rPr>
            </w:pPr>
          </w:p>
        </w:tc>
        <w:tc>
          <w:tcPr>
            <w:tcW w:w="523" w:type="pct"/>
            <w:shd w:val="clear" w:color="auto" w:fill="FFFFFF"/>
          </w:tcPr>
          <w:p w:rsidRPr="00E47B30" w:rsidR="000459BE" w:rsidP="000459BE" w:rsidRDefault="000459BE" w14:paraId="1F666BD4" w14:textId="0B19569B">
            <w:pPr>
              <w:jc w:val="center"/>
            </w:pPr>
            <w:r>
              <w:t xml:space="preserve">NYSE Listed Company Manual </w:t>
            </w:r>
            <w:r w:rsidRPr="00E47B30">
              <w:t xml:space="preserve">Rules </w:t>
            </w:r>
            <w:proofErr w:type="spellStart"/>
            <w:r w:rsidRPr="00E47B30">
              <w:t>303A.04</w:t>
            </w:r>
            <w:proofErr w:type="spellEnd"/>
            <w:r w:rsidRPr="00E47B30">
              <w:t>, .05, .07, .09 and .10</w:t>
            </w:r>
          </w:p>
          <w:p w:rsidRPr="00E47B30" w:rsidR="000459BE" w:rsidP="000459BE" w:rsidRDefault="000459BE" w14:paraId="37435C96" w14:textId="77777777">
            <w:pPr>
              <w:jc w:val="center"/>
            </w:pPr>
          </w:p>
          <w:p w:rsidRPr="00E47B30" w:rsidR="000459BE" w:rsidP="000459BE" w:rsidRDefault="000D00E3" w14:paraId="2E43C5A7" w14:textId="4F866B03">
            <w:pPr>
              <w:jc w:val="center"/>
            </w:pPr>
            <w:hyperlink w:history="1" r:id="rId121">
              <w:r w:rsidRPr="00E47B30" w:rsidR="000459BE">
                <w:rPr>
                  <w:rStyle w:val="Hyperlink"/>
                </w:rPr>
                <w:t>NYSE Listed Company Manual</w:t>
              </w:r>
            </w:hyperlink>
          </w:p>
        </w:tc>
        <w:tc>
          <w:tcPr>
            <w:tcW w:w="1951" w:type="pct"/>
            <w:shd w:val="clear" w:color="auto" w:fill="FFFFFF"/>
          </w:tcPr>
          <w:p w:rsidRPr="00E47B30" w:rsidR="000459BE" w:rsidP="000459BE" w:rsidRDefault="000459BE" w14:paraId="7902655E" w14:textId="77777777">
            <w:pPr>
              <w:spacing w:after="240"/>
            </w:pPr>
            <w:r w:rsidRPr="00E47B30">
              <w:t>Each NYSE-listed company must make the following documents available on or through its website and must state in its proxy statement (or in its Form 10</w:t>
            </w:r>
            <w:r w:rsidRPr="00E47B30">
              <w:noBreakHyphen/>
              <w:t>K if it does not file a proxy statement) that the following documents are available on its website:</w:t>
            </w:r>
          </w:p>
          <w:p w:rsidRPr="00E47B30" w:rsidR="000459BE" w:rsidP="000459BE" w:rsidRDefault="000459BE" w14:paraId="17FBA3A9" w14:textId="77777777">
            <w:pPr>
              <w:pStyle w:val="ListBullet"/>
            </w:pPr>
            <w:r w:rsidRPr="00E47B30">
              <w:t>audit committee charter;</w:t>
            </w:r>
          </w:p>
          <w:p w:rsidRPr="00E47B30" w:rsidR="000459BE" w:rsidP="000459BE" w:rsidRDefault="000459BE" w14:paraId="2BC2425E" w14:textId="77777777">
            <w:pPr>
              <w:pStyle w:val="ListBullet"/>
            </w:pPr>
            <w:r w:rsidRPr="00E47B30">
              <w:t>compensation committee charter;</w:t>
            </w:r>
          </w:p>
          <w:p w:rsidRPr="00E47B30" w:rsidR="000459BE" w:rsidP="000459BE" w:rsidRDefault="000459BE" w14:paraId="5678DDEC" w14:textId="77777777">
            <w:pPr>
              <w:pStyle w:val="ListBullet"/>
            </w:pPr>
            <w:r w:rsidRPr="00E47B30">
              <w:t>corporate governance/nominating committee charter;</w:t>
            </w:r>
          </w:p>
          <w:p w:rsidRPr="00E47B30" w:rsidR="000459BE" w:rsidP="000459BE" w:rsidRDefault="000459BE" w14:paraId="75E69567" w14:textId="77777777">
            <w:pPr>
              <w:pStyle w:val="ListBullet"/>
            </w:pPr>
            <w:r w:rsidRPr="00E47B30">
              <w:t>corporate governance guidelines; and</w:t>
            </w:r>
          </w:p>
          <w:p w:rsidRPr="000A4F3D" w:rsidR="000459BE" w:rsidP="000459BE" w:rsidRDefault="000459BE" w14:paraId="21E004E6" w14:textId="344C76A1">
            <w:pPr>
              <w:pStyle w:val="ListBullet"/>
            </w:pPr>
            <w:r w:rsidRPr="00E47B30">
              <w:t>code of business conduct and ethics.</w:t>
            </w:r>
          </w:p>
        </w:tc>
        <w:tc>
          <w:tcPr>
            <w:tcW w:w="931" w:type="pct"/>
            <w:shd w:val="clear" w:color="auto" w:fill="FFFFFF"/>
          </w:tcPr>
          <w:p w:rsidRPr="00414307" w:rsidR="000459BE" w:rsidP="000459BE" w:rsidRDefault="000459BE" w14:paraId="2A28AED8" w14:textId="77777777">
            <w:pPr>
              <w:spacing w:after="240"/>
            </w:pPr>
          </w:p>
        </w:tc>
        <w:tc>
          <w:tcPr>
            <w:tcW w:w="561" w:type="pct"/>
            <w:shd w:val="clear" w:color="auto" w:fill="FFFFFF"/>
          </w:tcPr>
          <w:p w:rsidRPr="007E0B55" w:rsidR="000459BE" w:rsidP="000459BE" w:rsidRDefault="000459BE" w14:paraId="75C84C4A" w14:textId="77777777">
            <w:pPr>
              <w:spacing w:after="240"/>
              <w:contextualSpacing/>
              <w:rPr>
                <w:sz w:val="20"/>
              </w:rPr>
            </w:pPr>
          </w:p>
        </w:tc>
        <w:tc>
          <w:tcPr>
            <w:tcW w:w="344" w:type="pct"/>
            <w:shd w:val="clear" w:color="auto" w:fill="FFFFFF"/>
            <w:vAlign w:val="center"/>
          </w:tcPr>
          <w:p w:rsidRPr="00E47B30" w:rsidR="000459BE" w:rsidP="000459BE" w:rsidRDefault="000459BE" w14:paraId="66D61340"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20239916" w14:textId="3DAD734A">
            <w:pPr>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02882236" w14:textId="77777777">
        <w:trPr>
          <w:cantSplit/>
          <w:trHeight w:val="172"/>
          <w:jc w:val="center"/>
        </w:trPr>
        <w:tc>
          <w:tcPr>
            <w:tcW w:w="690" w:type="pct"/>
            <w:shd w:val="clear" w:color="auto" w:fill="FFFFFF"/>
          </w:tcPr>
          <w:p w:rsidRPr="00E47B30" w:rsidR="000459BE" w:rsidP="000459BE" w:rsidRDefault="000459BE" w14:paraId="7F0BDF15" w14:textId="3815514B">
            <w:pPr>
              <w:pStyle w:val="BodyText"/>
              <w:spacing w:after="120"/>
              <w:rPr>
                <w:rFonts w:cs="Arial"/>
                <w:b/>
                <w:bCs/>
                <w:i/>
                <w:color w:val="FF0000"/>
              </w:rPr>
            </w:pPr>
          </w:p>
        </w:tc>
        <w:tc>
          <w:tcPr>
            <w:tcW w:w="523" w:type="pct"/>
            <w:shd w:val="clear" w:color="auto" w:fill="FFFFFF"/>
          </w:tcPr>
          <w:p w:rsidRPr="00E47B30" w:rsidR="000459BE" w:rsidP="000459BE" w:rsidRDefault="000459BE" w14:paraId="057A34AC" w14:textId="65F2AD03">
            <w:pPr>
              <w:jc w:val="center"/>
            </w:pPr>
            <w:r>
              <w:t xml:space="preserve">NYSE Listed Company Manual </w:t>
            </w:r>
            <w:r w:rsidRPr="00E47B30">
              <w:t xml:space="preserve">Rules </w:t>
            </w:r>
            <w:proofErr w:type="spellStart"/>
            <w:r w:rsidRPr="00E47B30">
              <w:t>303A.02</w:t>
            </w:r>
            <w:proofErr w:type="spellEnd"/>
            <w:r w:rsidRPr="00E47B30">
              <w:t>, .03, .07</w:t>
            </w:r>
          </w:p>
          <w:p w:rsidRPr="00E47B30" w:rsidR="000459BE" w:rsidP="000459BE" w:rsidRDefault="000459BE" w14:paraId="3C4370B1" w14:textId="77777777">
            <w:pPr>
              <w:jc w:val="center"/>
            </w:pPr>
          </w:p>
          <w:p w:rsidRPr="00E47B30" w:rsidR="000459BE" w:rsidP="000459BE" w:rsidRDefault="000D00E3" w14:paraId="024717B6" w14:textId="5FA24980">
            <w:pPr>
              <w:pStyle w:val="BodyText"/>
              <w:spacing w:after="120"/>
              <w:jc w:val="center"/>
            </w:pPr>
            <w:hyperlink w:history="1" r:id="rId122">
              <w:r w:rsidRPr="00E47B30" w:rsidR="000459BE">
                <w:rPr>
                  <w:rStyle w:val="Hyperlink"/>
                </w:rPr>
                <w:t>NYSE Listed Company Manual</w:t>
              </w:r>
            </w:hyperlink>
          </w:p>
        </w:tc>
        <w:tc>
          <w:tcPr>
            <w:tcW w:w="1951" w:type="pct"/>
            <w:shd w:val="clear" w:color="auto" w:fill="FFFFFF"/>
          </w:tcPr>
          <w:p w:rsidR="000459BE" w:rsidP="000459BE" w:rsidRDefault="000459BE" w14:paraId="6E57F481" w14:textId="77777777">
            <w:pPr>
              <w:spacing w:after="240"/>
              <w:rPr>
                <w:b/>
                <w:szCs w:val="24"/>
              </w:rPr>
            </w:pPr>
            <w:r w:rsidRPr="00E47B30">
              <w:rPr>
                <w:b/>
                <w:szCs w:val="24"/>
              </w:rPr>
              <w:t>Website Posting of NYSE Corporate Governance Disclosures</w:t>
            </w:r>
          </w:p>
          <w:p w:rsidRPr="00E47B30" w:rsidR="000459BE" w:rsidP="000459BE" w:rsidRDefault="000459BE" w14:paraId="7C6559AF" w14:textId="47855AC5">
            <w:pPr>
              <w:spacing w:after="240"/>
              <w:rPr>
                <w:bCs/>
                <w:szCs w:val="24"/>
              </w:rPr>
            </w:pPr>
            <w:r w:rsidRPr="00E47B30">
              <w:rPr>
                <w:bCs/>
                <w:szCs w:val="24"/>
              </w:rPr>
              <w:t xml:space="preserve">NYSE </w:t>
            </w:r>
            <w:r>
              <w:rPr>
                <w:bCs/>
                <w:szCs w:val="24"/>
              </w:rPr>
              <w:t>rules</w:t>
            </w:r>
            <w:r w:rsidRPr="00E47B30">
              <w:rPr>
                <w:bCs/>
                <w:szCs w:val="24"/>
              </w:rPr>
              <w:t xml:space="preserve"> permit listed companies to make a variety of NYSE-required corporate governance disclosures on their website, rather than in proxy statements. Note that if a company chooses to make these disclosures solely on or through the company</w:t>
            </w:r>
            <w:r>
              <w:rPr>
                <w:bCs/>
                <w:szCs w:val="24"/>
              </w:rPr>
              <w:t>’</w:t>
            </w:r>
            <w:r w:rsidRPr="00E47B30">
              <w:rPr>
                <w:bCs/>
                <w:szCs w:val="24"/>
              </w:rPr>
              <w:t>s website, it must so state in its annual proxy statement (or Form 10</w:t>
            </w:r>
            <w:r w:rsidRPr="00E47B30">
              <w:rPr>
                <w:bCs/>
                <w:szCs w:val="24"/>
              </w:rPr>
              <w:noBreakHyphen/>
              <w:t>K, if it does not file a proxy statement) and provide the website address. The disclosures permitted to be made by posting on a company</w:t>
            </w:r>
            <w:r>
              <w:rPr>
                <w:bCs/>
                <w:szCs w:val="24"/>
              </w:rPr>
              <w:t>’</w:t>
            </w:r>
            <w:r w:rsidRPr="00E47B30">
              <w:rPr>
                <w:bCs/>
                <w:szCs w:val="24"/>
              </w:rPr>
              <w:t>s website include</w:t>
            </w:r>
            <w:r>
              <w:rPr>
                <w:bCs/>
                <w:szCs w:val="24"/>
              </w:rPr>
              <w:t xml:space="preserve"> the disclosures set forth in the rows below</w:t>
            </w:r>
            <w:r w:rsidRPr="00E47B30">
              <w:rPr>
                <w:bCs/>
                <w:szCs w:val="24"/>
              </w:rPr>
              <w:t>:</w:t>
            </w:r>
          </w:p>
        </w:tc>
        <w:tc>
          <w:tcPr>
            <w:tcW w:w="931" w:type="pct"/>
            <w:shd w:val="clear" w:color="auto" w:fill="FFFFFF"/>
          </w:tcPr>
          <w:p w:rsidRPr="00414307" w:rsidR="000459BE" w:rsidP="000459BE" w:rsidRDefault="000459BE" w14:paraId="572E9419" w14:textId="77777777">
            <w:pPr>
              <w:spacing w:after="240"/>
              <w:rPr>
                <w:b/>
                <w:szCs w:val="24"/>
              </w:rPr>
            </w:pPr>
          </w:p>
        </w:tc>
        <w:tc>
          <w:tcPr>
            <w:tcW w:w="561" w:type="pct"/>
            <w:shd w:val="clear" w:color="auto" w:fill="FFFFFF"/>
          </w:tcPr>
          <w:p w:rsidRPr="007E0B55" w:rsidR="000459BE" w:rsidP="000459BE" w:rsidRDefault="000459BE" w14:paraId="30F467DD" w14:textId="77777777">
            <w:pPr>
              <w:spacing w:after="240"/>
              <w:contextualSpacing/>
              <w:rPr>
                <w:b/>
                <w:sz w:val="20"/>
              </w:rPr>
            </w:pPr>
          </w:p>
        </w:tc>
        <w:tc>
          <w:tcPr>
            <w:tcW w:w="344" w:type="pct"/>
            <w:shd w:val="clear" w:color="auto" w:fill="FFFFFF"/>
            <w:vAlign w:val="center"/>
          </w:tcPr>
          <w:p w:rsidRPr="00E47B30" w:rsidR="000459BE" w:rsidP="000459BE" w:rsidRDefault="000459BE" w14:paraId="422CAD15"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2B414887" w14:textId="46F8D83E">
            <w:pPr>
              <w:spacing w:after="0"/>
              <w:jc w:val="center"/>
              <w:rPr>
                <w:b/>
                <w:szCs w:val="24"/>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516ED3EC" w14:textId="77777777">
        <w:trPr>
          <w:cantSplit/>
          <w:trHeight w:val="172"/>
          <w:jc w:val="center"/>
        </w:trPr>
        <w:tc>
          <w:tcPr>
            <w:tcW w:w="690" w:type="pct"/>
            <w:shd w:val="clear" w:color="auto" w:fill="FFFFFF"/>
          </w:tcPr>
          <w:p w:rsidRPr="00E47B30" w:rsidR="000459BE" w:rsidP="000459BE" w:rsidRDefault="000459BE" w14:paraId="3B9529D0" w14:textId="77777777">
            <w:pPr>
              <w:pStyle w:val="BodyText"/>
              <w:spacing w:after="120"/>
              <w:rPr>
                <w:b/>
                <w:bCs/>
              </w:rPr>
            </w:pPr>
          </w:p>
        </w:tc>
        <w:tc>
          <w:tcPr>
            <w:tcW w:w="523" w:type="pct"/>
            <w:shd w:val="clear" w:color="auto" w:fill="FFFFFF"/>
          </w:tcPr>
          <w:p w:rsidRPr="00E47B30" w:rsidR="000459BE" w:rsidP="000459BE" w:rsidRDefault="000459BE" w14:paraId="6471F33E" w14:textId="77777777">
            <w:pPr>
              <w:pStyle w:val="BodyText"/>
              <w:spacing w:after="120"/>
              <w:jc w:val="center"/>
            </w:pPr>
          </w:p>
        </w:tc>
        <w:tc>
          <w:tcPr>
            <w:tcW w:w="1951" w:type="pct"/>
            <w:shd w:val="clear" w:color="auto" w:fill="FFFFFF"/>
          </w:tcPr>
          <w:p w:rsidRPr="00E47B30" w:rsidR="000459BE" w:rsidP="000459BE" w:rsidRDefault="000459BE" w14:paraId="028D8AD6" w14:textId="1C16F7E8">
            <w:pPr>
              <w:pStyle w:val="ListBullet"/>
              <w:rPr>
                <w:i/>
                <w:u w:val="single"/>
              </w:rPr>
            </w:pPr>
            <w:r w:rsidRPr="00E47B30">
              <w:t>the determination by the Board of Directors that service by a member of the audit committee on more than three public company audit committees will not impair that member</w:t>
            </w:r>
            <w:r>
              <w:t>’</w:t>
            </w:r>
            <w:r w:rsidRPr="00E47B30">
              <w:t>s ability to serve effectively on the listed company</w:t>
            </w:r>
            <w:r>
              <w:t>’</w:t>
            </w:r>
            <w:r w:rsidRPr="00E47B30">
              <w:t xml:space="preserve">s audit committee, whether or not the company has a policy that limits the number of audit commitments on which audit committee members can serve to three or less; </w:t>
            </w:r>
          </w:p>
        </w:tc>
        <w:tc>
          <w:tcPr>
            <w:tcW w:w="931" w:type="pct"/>
            <w:shd w:val="clear" w:color="auto" w:fill="FFFFFF"/>
          </w:tcPr>
          <w:p w:rsidRPr="00414307" w:rsidR="000459BE" w:rsidP="000459BE" w:rsidRDefault="000459BE" w14:paraId="0B13EA25" w14:textId="77777777">
            <w:pPr>
              <w:pStyle w:val="BodyText"/>
            </w:pPr>
          </w:p>
        </w:tc>
        <w:tc>
          <w:tcPr>
            <w:tcW w:w="561" w:type="pct"/>
            <w:shd w:val="clear" w:color="auto" w:fill="FFFFFF"/>
          </w:tcPr>
          <w:p w:rsidRPr="007E0B55" w:rsidR="000459BE" w:rsidP="000459BE" w:rsidRDefault="000459BE" w14:paraId="160A3BFA" w14:textId="77777777">
            <w:pPr>
              <w:pStyle w:val="BodyText"/>
              <w:contextualSpacing/>
              <w:rPr>
                <w:sz w:val="20"/>
              </w:rPr>
            </w:pPr>
          </w:p>
        </w:tc>
        <w:tc>
          <w:tcPr>
            <w:tcW w:w="344" w:type="pct"/>
            <w:shd w:val="clear" w:color="auto" w:fill="FFFFFF"/>
            <w:vAlign w:val="center"/>
          </w:tcPr>
          <w:p w:rsidRPr="00E47B30" w:rsidR="000459BE" w:rsidP="000459BE" w:rsidRDefault="000459BE" w14:paraId="538CA5A7"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21ABA893" w14:textId="55BBDD6B">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7FE4A369" w14:textId="77777777">
        <w:trPr>
          <w:cantSplit/>
          <w:trHeight w:val="172"/>
          <w:jc w:val="center"/>
        </w:trPr>
        <w:tc>
          <w:tcPr>
            <w:tcW w:w="690" w:type="pct"/>
            <w:shd w:val="clear" w:color="auto" w:fill="FFFFFF"/>
          </w:tcPr>
          <w:p w:rsidRPr="00E47B30" w:rsidR="000459BE" w:rsidP="000459BE" w:rsidRDefault="000459BE" w14:paraId="23C4F5FE" w14:textId="77777777">
            <w:pPr>
              <w:pStyle w:val="BodyText"/>
              <w:spacing w:after="120"/>
              <w:rPr>
                <w:b/>
                <w:bCs/>
              </w:rPr>
            </w:pPr>
          </w:p>
        </w:tc>
        <w:tc>
          <w:tcPr>
            <w:tcW w:w="523" w:type="pct"/>
            <w:shd w:val="clear" w:color="auto" w:fill="FFFFFF"/>
          </w:tcPr>
          <w:p w:rsidRPr="00E47B30" w:rsidR="000459BE" w:rsidP="000459BE" w:rsidRDefault="000459BE" w14:paraId="561DC69F" w14:textId="77777777">
            <w:pPr>
              <w:pStyle w:val="BodyText"/>
              <w:spacing w:after="120"/>
              <w:jc w:val="center"/>
            </w:pPr>
          </w:p>
        </w:tc>
        <w:tc>
          <w:tcPr>
            <w:tcW w:w="1951" w:type="pct"/>
            <w:shd w:val="clear" w:color="auto" w:fill="FFFFFF"/>
          </w:tcPr>
          <w:p w:rsidRPr="00E47B30" w:rsidR="000459BE" w:rsidP="000459BE" w:rsidRDefault="000459BE" w14:paraId="4F59A830" w14:textId="53DF3DDA">
            <w:pPr>
              <w:pStyle w:val="ListBullet"/>
            </w:pPr>
            <w:r w:rsidRPr="00E47B30">
              <w:t>contributions by the company to tax exempt organizations where a company director serves as an executive officer and the contributions in any single fiscal year during the past three fiscal years exceeds the greater of $1 million or 2% of the tax-exempt organization</w:t>
            </w:r>
            <w:r>
              <w:t>’</w:t>
            </w:r>
            <w:r w:rsidRPr="00E47B30">
              <w:t>s consolidated gross revenues;</w:t>
            </w:r>
          </w:p>
        </w:tc>
        <w:tc>
          <w:tcPr>
            <w:tcW w:w="931" w:type="pct"/>
            <w:shd w:val="clear" w:color="auto" w:fill="FFFFFF"/>
          </w:tcPr>
          <w:p w:rsidRPr="00414307" w:rsidR="000459BE" w:rsidP="000459BE" w:rsidRDefault="000459BE" w14:paraId="3D961EE4" w14:textId="77777777">
            <w:pPr>
              <w:pStyle w:val="BodyText"/>
            </w:pPr>
          </w:p>
        </w:tc>
        <w:tc>
          <w:tcPr>
            <w:tcW w:w="561" w:type="pct"/>
            <w:shd w:val="clear" w:color="auto" w:fill="FFFFFF"/>
          </w:tcPr>
          <w:p w:rsidRPr="007E0B55" w:rsidR="000459BE" w:rsidP="000459BE" w:rsidRDefault="000459BE" w14:paraId="432BE86B" w14:textId="77777777">
            <w:pPr>
              <w:pStyle w:val="BodyText"/>
              <w:contextualSpacing/>
              <w:rPr>
                <w:sz w:val="20"/>
              </w:rPr>
            </w:pPr>
          </w:p>
        </w:tc>
        <w:tc>
          <w:tcPr>
            <w:tcW w:w="344" w:type="pct"/>
            <w:shd w:val="clear" w:color="auto" w:fill="FFFFFF"/>
            <w:vAlign w:val="center"/>
          </w:tcPr>
          <w:p w:rsidRPr="00E47B30" w:rsidR="000459BE" w:rsidP="000459BE" w:rsidRDefault="000459BE" w14:paraId="232A4556"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068037AD" w14:textId="27B2CA90">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04EE4DCC" w14:textId="77777777">
        <w:trPr>
          <w:cantSplit/>
          <w:trHeight w:val="172"/>
          <w:jc w:val="center"/>
        </w:trPr>
        <w:tc>
          <w:tcPr>
            <w:tcW w:w="690" w:type="pct"/>
            <w:shd w:val="clear" w:color="auto" w:fill="FFFFFF"/>
          </w:tcPr>
          <w:p w:rsidRPr="00E47B30" w:rsidR="000459BE" w:rsidP="000459BE" w:rsidRDefault="000459BE" w14:paraId="015E02DC" w14:textId="77777777">
            <w:pPr>
              <w:pStyle w:val="BodyText"/>
              <w:spacing w:after="120"/>
              <w:rPr>
                <w:b/>
                <w:bCs/>
              </w:rPr>
            </w:pPr>
          </w:p>
        </w:tc>
        <w:tc>
          <w:tcPr>
            <w:tcW w:w="523" w:type="pct"/>
            <w:shd w:val="clear" w:color="auto" w:fill="FFFFFF"/>
          </w:tcPr>
          <w:p w:rsidRPr="00E47B30" w:rsidR="000459BE" w:rsidP="000459BE" w:rsidRDefault="000459BE" w14:paraId="0EA07463" w14:textId="77777777">
            <w:pPr>
              <w:pStyle w:val="BodyText"/>
              <w:spacing w:after="120"/>
              <w:jc w:val="center"/>
            </w:pPr>
          </w:p>
        </w:tc>
        <w:tc>
          <w:tcPr>
            <w:tcW w:w="1951" w:type="pct"/>
            <w:shd w:val="clear" w:color="auto" w:fill="FFFFFF"/>
          </w:tcPr>
          <w:p w:rsidRPr="00E47B30" w:rsidR="000459BE" w:rsidP="000459BE" w:rsidRDefault="000459BE" w14:paraId="3C9DB1DD" w14:textId="77777777">
            <w:pPr>
              <w:pStyle w:val="ListBullet"/>
            </w:pPr>
            <w:r w:rsidRPr="00E47B30">
              <w:t>the director chosen to preside over executive sessions of non-management/independent directors (or the procedure used to select that director if the director is not the same at each meeting); and</w:t>
            </w:r>
          </w:p>
        </w:tc>
        <w:tc>
          <w:tcPr>
            <w:tcW w:w="931" w:type="pct"/>
            <w:shd w:val="clear" w:color="auto" w:fill="FFFFFF"/>
          </w:tcPr>
          <w:p w:rsidRPr="00414307" w:rsidR="000459BE" w:rsidP="000459BE" w:rsidRDefault="000459BE" w14:paraId="08BD3D99" w14:textId="77777777">
            <w:pPr>
              <w:pStyle w:val="BodyText"/>
            </w:pPr>
          </w:p>
        </w:tc>
        <w:tc>
          <w:tcPr>
            <w:tcW w:w="561" w:type="pct"/>
            <w:shd w:val="clear" w:color="auto" w:fill="FFFFFF"/>
          </w:tcPr>
          <w:p w:rsidRPr="007E0B55" w:rsidR="000459BE" w:rsidP="000459BE" w:rsidRDefault="000459BE" w14:paraId="5EF0CB54" w14:textId="77777777">
            <w:pPr>
              <w:pStyle w:val="BodyText"/>
              <w:contextualSpacing/>
              <w:rPr>
                <w:sz w:val="20"/>
              </w:rPr>
            </w:pPr>
          </w:p>
        </w:tc>
        <w:tc>
          <w:tcPr>
            <w:tcW w:w="344" w:type="pct"/>
            <w:shd w:val="clear" w:color="auto" w:fill="FFFFFF"/>
            <w:vAlign w:val="center"/>
          </w:tcPr>
          <w:p w:rsidRPr="00E47B30" w:rsidR="000459BE" w:rsidP="000459BE" w:rsidRDefault="000459BE" w14:paraId="1111B362"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56B550EC" w14:textId="6F1B6B80">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74277A14" w14:textId="77777777">
        <w:trPr>
          <w:cantSplit/>
          <w:trHeight w:val="172"/>
          <w:jc w:val="center"/>
        </w:trPr>
        <w:tc>
          <w:tcPr>
            <w:tcW w:w="690" w:type="pct"/>
            <w:shd w:val="clear" w:color="auto" w:fill="FFFFFF"/>
          </w:tcPr>
          <w:p w:rsidRPr="00E47B30" w:rsidR="000459BE" w:rsidP="000459BE" w:rsidRDefault="000459BE" w14:paraId="452B3957" w14:textId="77777777">
            <w:pPr>
              <w:pStyle w:val="BodyText"/>
              <w:spacing w:after="120"/>
              <w:rPr>
                <w:b/>
                <w:bCs/>
              </w:rPr>
            </w:pPr>
          </w:p>
        </w:tc>
        <w:tc>
          <w:tcPr>
            <w:tcW w:w="523" w:type="pct"/>
            <w:shd w:val="clear" w:color="auto" w:fill="FFFFFF"/>
          </w:tcPr>
          <w:p w:rsidRPr="00E47B30" w:rsidR="000459BE" w:rsidP="000459BE" w:rsidRDefault="000459BE" w14:paraId="26439B38" w14:textId="77777777">
            <w:pPr>
              <w:pStyle w:val="BodyText"/>
              <w:spacing w:after="120"/>
              <w:jc w:val="center"/>
            </w:pPr>
          </w:p>
        </w:tc>
        <w:tc>
          <w:tcPr>
            <w:tcW w:w="1951" w:type="pct"/>
            <w:shd w:val="clear" w:color="auto" w:fill="FFFFFF"/>
          </w:tcPr>
          <w:p w:rsidRPr="00E47B30" w:rsidR="000459BE" w:rsidP="000459BE" w:rsidRDefault="000459BE" w14:paraId="0AA67A4E" w14:textId="77777777">
            <w:pPr>
              <w:pStyle w:val="ListBullet"/>
            </w:pPr>
            <w:r w:rsidRPr="00E47B30">
              <w:t>the method by which interested parties can communicate directly with the presiding director and/or all non-management/independent directors as a group.</w:t>
            </w:r>
          </w:p>
        </w:tc>
        <w:tc>
          <w:tcPr>
            <w:tcW w:w="931" w:type="pct"/>
            <w:shd w:val="clear" w:color="auto" w:fill="FFFFFF"/>
          </w:tcPr>
          <w:p w:rsidRPr="00414307" w:rsidR="000459BE" w:rsidP="000459BE" w:rsidRDefault="000459BE" w14:paraId="2FAEB656" w14:textId="77777777">
            <w:pPr>
              <w:pStyle w:val="BodyText"/>
            </w:pPr>
          </w:p>
        </w:tc>
        <w:tc>
          <w:tcPr>
            <w:tcW w:w="561" w:type="pct"/>
            <w:shd w:val="clear" w:color="auto" w:fill="FFFFFF"/>
          </w:tcPr>
          <w:p w:rsidRPr="007E0B55" w:rsidR="000459BE" w:rsidP="000459BE" w:rsidRDefault="000459BE" w14:paraId="5C95DD54" w14:textId="77777777">
            <w:pPr>
              <w:pStyle w:val="BodyText"/>
              <w:contextualSpacing/>
              <w:rPr>
                <w:sz w:val="20"/>
              </w:rPr>
            </w:pPr>
          </w:p>
        </w:tc>
        <w:tc>
          <w:tcPr>
            <w:tcW w:w="344" w:type="pct"/>
            <w:shd w:val="clear" w:color="auto" w:fill="FFFFFF"/>
            <w:vAlign w:val="center"/>
          </w:tcPr>
          <w:p w:rsidRPr="00E47B30" w:rsidR="000459BE" w:rsidP="000459BE" w:rsidRDefault="000459BE" w14:paraId="09F7F07C"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7C58C26B" w14:textId="07D17694">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0AB2D0A9" w14:textId="77777777">
        <w:trPr>
          <w:cantSplit/>
          <w:trHeight w:val="172"/>
          <w:jc w:val="center"/>
        </w:trPr>
        <w:tc>
          <w:tcPr>
            <w:tcW w:w="690" w:type="pct"/>
            <w:shd w:val="clear" w:color="auto" w:fill="FFFFFF"/>
          </w:tcPr>
          <w:p w:rsidRPr="00E47B30" w:rsidR="000459BE" w:rsidP="000459BE" w:rsidRDefault="000459BE" w14:paraId="2983512B" w14:textId="1946B587">
            <w:pPr>
              <w:pStyle w:val="BodyText"/>
              <w:spacing w:after="120"/>
              <w:rPr>
                <w:b/>
                <w:bCs/>
              </w:rPr>
            </w:pPr>
          </w:p>
        </w:tc>
        <w:tc>
          <w:tcPr>
            <w:tcW w:w="523" w:type="pct"/>
            <w:shd w:val="clear" w:color="auto" w:fill="FFFFFF"/>
          </w:tcPr>
          <w:p w:rsidRPr="00E47B30" w:rsidR="000459BE" w:rsidP="000459BE" w:rsidRDefault="000459BE" w14:paraId="2DCDBADC" w14:textId="77777777">
            <w:pPr>
              <w:pStyle w:val="BodyText"/>
              <w:spacing w:after="120"/>
              <w:jc w:val="center"/>
            </w:pPr>
            <w:r w:rsidRPr="00E47B30">
              <w:t xml:space="preserve">Rule </w:t>
            </w:r>
            <w:proofErr w:type="spellStart"/>
            <w:r w:rsidRPr="00E47B30">
              <w:t>303A</w:t>
            </w:r>
            <w:proofErr w:type="spellEnd"/>
          </w:p>
          <w:p w:rsidRPr="00E47B30" w:rsidR="000459BE" w:rsidP="000459BE" w:rsidRDefault="000D00E3" w14:paraId="48865467" w14:textId="365042C2">
            <w:pPr>
              <w:pStyle w:val="BodyText"/>
              <w:spacing w:after="120"/>
              <w:jc w:val="center"/>
            </w:pPr>
            <w:hyperlink w:history="1" r:id="rId123">
              <w:r w:rsidRPr="00E47B30" w:rsidR="000459BE">
                <w:rPr>
                  <w:rStyle w:val="Hyperlink"/>
                </w:rPr>
                <w:t>NYSE Listed Company Manual</w:t>
              </w:r>
            </w:hyperlink>
          </w:p>
        </w:tc>
        <w:tc>
          <w:tcPr>
            <w:tcW w:w="1951" w:type="pct"/>
            <w:shd w:val="clear" w:color="auto" w:fill="FFFFFF"/>
          </w:tcPr>
          <w:p w:rsidR="000459BE" w:rsidP="000459BE" w:rsidRDefault="000459BE" w14:paraId="08236B87" w14:textId="77777777">
            <w:pPr>
              <w:pStyle w:val="BodyText"/>
              <w:rPr>
                <w:b/>
                <w:bCs/>
              </w:rPr>
            </w:pPr>
            <w:r w:rsidRPr="00E47B30">
              <w:rPr>
                <w:b/>
                <w:bCs/>
              </w:rPr>
              <w:t>Controlled company status/excepti</w:t>
            </w:r>
            <w:r>
              <w:rPr>
                <w:b/>
                <w:bCs/>
              </w:rPr>
              <w:t>on</w:t>
            </w:r>
          </w:p>
          <w:p w:rsidRPr="00E47B30" w:rsidR="000459BE" w:rsidP="000459BE" w:rsidRDefault="000459BE" w14:paraId="6460BC06" w14:textId="51E0BD8F">
            <w:pPr>
              <w:pStyle w:val="BodyText"/>
            </w:pPr>
            <w:r w:rsidRPr="000A4F3D">
              <w:t>The c</w:t>
            </w:r>
            <w:r w:rsidRPr="00E47B30">
              <w:t>ompany must disclose if it is relying on the exceptions for controlled companies and describe the basis for the determination.</w:t>
            </w:r>
          </w:p>
        </w:tc>
        <w:tc>
          <w:tcPr>
            <w:tcW w:w="931" w:type="pct"/>
            <w:shd w:val="clear" w:color="auto" w:fill="FFFFFF"/>
          </w:tcPr>
          <w:p w:rsidRPr="00414307" w:rsidR="000459BE" w:rsidP="000459BE" w:rsidRDefault="000459BE" w14:paraId="6E1A0C64" w14:textId="77777777">
            <w:pPr>
              <w:pStyle w:val="BodyText"/>
            </w:pPr>
          </w:p>
        </w:tc>
        <w:tc>
          <w:tcPr>
            <w:tcW w:w="561" w:type="pct"/>
            <w:shd w:val="clear" w:color="auto" w:fill="FFFFFF"/>
          </w:tcPr>
          <w:p w:rsidRPr="007E0B55" w:rsidR="000459BE" w:rsidP="000459BE" w:rsidRDefault="000459BE" w14:paraId="785A4CD7" w14:textId="77777777">
            <w:pPr>
              <w:pStyle w:val="BodyText"/>
              <w:contextualSpacing/>
              <w:rPr>
                <w:sz w:val="20"/>
              </w:rPr>
            </w:pPr>
          </w:p>
        </w:tc>
        <w:tc>
          <w:tcPr>
            <w:tcW w:w="344" w:type="pct"/>
            <w:shd w:val="clear" w:color="auto" w:fill="FFFFFF"/>
            <w:vAlign w:val="center"/>
          </w:tcPr>
          <w:p w:rsidRPr="00E47B30" w:rsidR="000459BE" w:rsidP="000459BE" w:rsidRDefault="000459BE" w14:paraId="09BEC1B8"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3B42BF54" w14:textId="761A5AED">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00DED1C7" w14:textId="77777777">
        <w:trPr>
          <w:cantSplit/>
          <w:jc w:val="center"/>
        </w:trPr>
        <w:tc>
          <w:tcPr>
            <w:tcW w:w="5000" w:type="pct"/>
            <w:gridSpan w:val="6"/>
            <w:shd w:val="clear" w:color="auto" w:fill="BFBFBF" w:themeFill="background1" w:themeFillShade="BF"/>
          </w:tcPr>
          <w:p w:rsidRPr="000A4F3D" w:rsidR="000459BE" w:rsidP="000459BE" w:rsidRDefault="000459BE" w14:paraId="4AC4F459" w14:textId="0D29BD23">
            <w:pPr>
              <w:spacing w:after="0"/>
              <w:rPr>
                <w:b/>
                <w:bCs/>
                <w:szCs w:val="22"/>
              </w:rPr>
            </w:pPr>
            <w:r>
              <w:rPr>
                <w:b/>
                <w:bCs/>
                <w:szCs w:val="22"/>
              </w:rPr>
              <w:lastRenderedPageBreak/>
              <w:t>Nasdaq</w:t>
            </w:r>
          </w:p>
        </w:tc>
      </w:tr>
      <w:tr w:rsidRPr="00E47B30" w:rsidR="000459BE" w:rsidTr="00E708F1" w14:paraId="40ACEF11" w14:textId="77777777">
        <w:trPr>
          <w:cantSplit/>
          <w:jc w:val="center"/>
        </w:trPr>
        <w:tc>
          <w:tcPr>
            <w:tcW w:w="690" w:type="pct"/>
            <w:shd w:val="clear" w:color="auto" w:fill="FFFFFF"/>
          </w:tcPr>
          <w:p w:rsidRPr="00E47B30" w:rsidR="000459BE" w:rsidP="000459BE" w:rsidRDefault="000459BE" w14:paraId="3844CA43" w14:textId="4BC8D140">
            <w:pPr>
              <w:pStyle w:val="BodyText"/>
              <w:spacing w:after="120"/>
              <w:rPr>
                <w:rFonts w:cs="Arial"/>
                <w:b/>
                <w:color w:val="FF0000"/>
                <w:szCs w:val="24"/>
              </w:rPr>
            </w:pPr>
          </w:p>
        </w:tc>
        <w:tc>
          <w:tcPr>
            <w:tcW w:w="523" w:type="pct"/>
            <w:shd w:val="clear" w:color="auto" w:fill="FFFFFF"/>
          </w:tcPr>
          <w:p w:rsidRPr="00E47B30" w:rsidR="000459BE" w:rsidP="000459BE" w:rsidRDefault="000459BE" w14:paraId="42102D14" w14:textId="77777777">
            <w:pPr>
              <w:pStyle w:val="BodyText"/>
              <w:spacing w:after="120"/>
              <w:jc w:val="center"/>
            </w:pPr>
            <w:r w:rsidRPr="00E47B30">
              <w:t>Section 5605(b)(1)</w:t>
            </w:r>
          </w:p>
          <w:p w:rsidRPr="00E47B30" w:rsidR="000459BE" w:rsidP="000459BE" w:rsidRDefault="000D00E3" w14:paraId="019E2FB6" w14:textId="3DC30C8B">
            <w:pPr>
              <w:pStyle w:val="BodyText"/>
              <w:spacing w:after="120"/>
              <w:jc w:val="center"/>
            </w:pPr>
            <w:hyperlink w:history="1" r:id="rId124">
              <w:r w:rsidRPr="00E47B30" w:rsidR="000459BE">
                <w:rPr>
                  <w:rStyle w:val="Hyperlink"/>
                </w:rPr>
                <w:t>Nasdaq Marketplace Rules</w:t>
              </w:r>
            </w:hyperlink>
          </w:p>
        </w:tc>
        <w:tc>
          <w:tcPr>
            <w:tcW w:w="1951" w:type="pct"/>
            <w:shd w:val="clear" w:color="auto" w:fill="FFFFFF"/>
          </w:tcPr>
          <w:p w:rsidRPr="00E47B30" w:rsidR="000459BE" w:rsidP="000459BE" w:rsidRDefault="000459BE" w14:paraId="2C990B9F" w14:textId="77777777">
            <w:pPr>
              <w:pStyle w:val="BodyText"/>
              <w:rPr>
                <w:b/>
                <w:bCs/>
              </w:rPr>
            </w:pPr>
            <w:r w:rsidRPr="00E47B30">
              <w:rPr>
                <w:b/>
                <w:bCs/>
              </w:rPr>
              <w:t xml:space="preserve">Board Independence </w:t>
            </w:r>
          </w:p>
          <w:p w:rsidRPr="00E47B30" w:rsidR="000459BE" w:rsidP="000459BE" w:rsidRDefault="000459BE" w14:paraId="065F9694" w14:textId="77777777">
            <w:pPr>
              <w:pStyle w:val="BodyText"/>
            </w:pPr>
            <w:r w:rsidRPr="00E47B30">
              <w:t>Companies must disclose the names of directors determined to be independent.</w:t>
            </w:r>
          </w:p>
        </w:tc>
        <w:tc>
          <w:tcPr>
            <w:tcW w:w="931" w:type="pct"/>
            <w:shd w:val="clear" w:color="auto" w:fill="FFFFFF"/>
          </w:tcPr>
          <w:p w:rsidRPr="00414307" w:rsidR="000459BE" w:rsidP="000459BE" w:rsidRDefault="000459BE" w14:paraId="1C205325" w14:textId="6C4042EF">
            <w:pPr>
              <w:pStyle w:val="BodyText"/>
            </w:pPr>
            <w:r>
              <w:t>This</w:t>
            </w:r>
            <w:r w:rsidRPr="00E47B30">
              <w:t xml:space="preserve"> disclosure </w:t>
            </w:r>
            <w:r>
              <w:t>is</w:t>
            </w:r>
            <w:r w:rsidRPr="00E47B30">
              <w:t xml:space="preserve"> required by Nasdaq rules in proxy statements of Global Market and Capital Market companies</w:t>
            </w:r>
            <w:r>
              <w:t xml:space="preserve">. If </w:t>
            </w:r>
            <w:r w:rsidRPr="00E47B30">
              <w:t xml:space="preserve">the company does not file a proxy statement </w:t>
            </w:r>
            <w:r>
              <w:t>with</w:t>
            </w:r>
            <w:r w:rsidRPr="00E47B30">
              <w:t xml:space="preserve"> the SEC, the disclosures</w:t>
            </w:r>
            <w:r>
              <w:t xml:space="preserve"> is </w:t>
            </w:r>
            <w:r w:rsidRPr="00E47B30">
              <w:t>required in the company</w:t>
            </w:r>
            <w:r>
              <w:t>’</w:t>
            </w:r>
            <w:r w:rsidRPr="00E47B30">
              <w:t>s Form 10</w:t>
            </w:r>
            <w:r w:rsidRPr="00E47B30">
              <w:noBreakHyphen/>
              <w:t>K.</w:t>
            </w:r>
          </w:p>
        </w:tc>
        <w:tc>
          <w:tcPr>
            <w:tcW w:w="561" w:type="pct"/>
            <w:shd w:val="clear" w:color="auto" w:fill="FFFFFF"/>
          </w:tcPr>
          <w:p w:rsidRPr="007E0B55" w:rsidR="000459BE" w:rsidP="000459BE" w:rsidRDefault="000459BE" w14:paraId="1F226415" w14:textId="77777777">
            <w:pPr>
              <w:pStyle w:val="BodyText"/>
              <w:contextualSpacing/>
              <w:rPr>
                <w:sz w:val="20"/>
              </w:rPr>
            </w:pPr>
          </w:p>
        </w:tc>
        <w:tc>
          <w:tcPr>
            <w:tcW w:w="344" w:type="pct"/>
            <w:shd w:val="clear" w:color="auto" w:fill="FFFFFF"/>
            <w:vAlign w:val="center"/>
          </w:tcPr>
          <w:p w:rsidRPr="00E47B30" w:rsidR="000459BE" w:rsidP="000459BE" w:rsidRDefault="000459BE" w14:paraId="6C1F20F1"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05664D37" w14:textId="013FBEA8">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2D669C48" w14:textId="77777777">
        <w:trPr>
          <w:cantSplit/>
          <w:jc w:val="center"/>
        </w:trPr>
        <w:tc>
          <w:tcPr>
            <w:tcW w:w="690" w:type="pct"/>
            <w:shd w:val="clear" w:color="auto" w:fill="FFFFFF"/>
          </w:tcPr>
          <w:p w:rsidRPr="00E47B30" w:rsidR="000459BE" w:rsidP="000459BE" w:rsidRDefault="000459BE" w14:paraId="455C2439" w14:textId="3F92F136">
            <w:pPr>
              <w:pStyle w:val="BodyText"/>
              <w:spacing w:after="120"/>
              <w:rPr>
                <w:b/>
                <w:bCs/>
              </w:rPr>
            </w:pPr>
          </w:p>
        </w:tc>
        <w:tc>
          <w:tcPr>
            <w:tcW w:w="523" w:type="pct"/>
            <w:shd w:val="clear" w:color="auto" w:fill="FFFFFF"/>
          </w:tcPr>
          <w:p w:rsidRPr="00E47B30" w:rsidR="000459BE" w:rsidP="000459BE" w:rsidRDefault="000459BE" w14:paraId="7AE673F9" w14:textId="77777777">
            <w:pPr>
              <w:pStyle w:val="BodyText"/>
              <w:spacing w:after="120"/>
              <w:jc w:val="center"/>
            </w:pPr>
            <w:r w:rsidRPr="00E47B30">
              <w:t>Sections 5605(c)(2)(B),</w:t>
            </w:r>
          </w:p>
          <w:p w:rsidRPr="00E47B30" w:rsidR="000459BE" w:rsidP="000459BE" w:rsidRDefault="000459BE" w14:paraId="75FC0C6B" w14:textId="77777777">
            <w:pPr>
              <w:pStyle w:val="BodyText"/>
              <w:spacing w:after="120"/>
              <w:jc w:val="center"/>
            </w:pPr>
            <w:r w:rsidRPr="00E47B30">
              <w:t>5605(d)(3),</w:t>
            </w:r>
          </w:p>
          <w:p w:rsidRPr="00E47B30" w:rsidR="000459BE" w:rsidP="000459BE" w:rsidRDefault="000459BE" w14:paraId="6175538A" w14:textId="77777777">
            <w:pPr>
              <w:pStyle w:val="BodyText"/>
              <w:spacing w:after="120"/>
              <w:jc w:val="center"/>
            </w:pPr>
            <w:r w:rsidRPr="00E47B30">
              <w:t>5605(e)(4)</w:t>
            </w:r>
          </w:p>
          <w:p w:rsidRPr="00E47B30" w:rsidR="000459BE" w:rsidP="000459BE" w:rsidRDefault="000D00E3" w14:paraId="6D12B9E9" w14:textId="0BBDF54F">
            <w:pPr>
              <w:pStyle w:val="BodyText"/>
              <w:spacing w:after="120"/>
              <w:jc w:val="center"/>
            </w:pPr>
            <w:hyperlink w:history="1" r:id="rId125">
              <w:r w:rsidRPr="00E47B30" w:rsidR="000459BE">
                <w:rPr>
                  <w:rStyle w:val="Hyperlink"/>
                </w:rPr>
                <w:t>Nasdaq Marketplace Rules</w:t>
              </w:r>
            </w:hyperlink>
          </w:p>
        </w:tc>
        <w:tc>
          <w:tcPr>
            <w:tcW w:w="1951" w:type="pct"/>
            <w:shd w:val="clear" w:color="auto" w:fill="FFFFFF"/>
          </w:tcPr>
          <w:p w:rsidRPr="00E47B30" w:rsidR="000459BE" w:rsidP="000459BE" w:rsidRDefault="000459BE" w14:paraId="02730540" w14:textId="77777777">
            <w:pPr>
              <w:pStyle w:val="BodyText"/>
              <w:rPr>
                <w:b/>
                <w:bCs/>
              </w:rPr>
            </w:pPr>
            <w:r w:rsidRPr="00E47B30">
              <w:rPr>
                <w:b/>
                <w:bCs/>
              </w:rPr>
              <w:t xml:space="preserve">Committee Independence </w:t>
            </w:r>
          </w:p>
          <w:p w:rsidRPr="00E47B30" w:rsidR="000459BE" w:rsidP="000459BE" w:rsidRDefault="000459BE" w14:paraId="119D276B" w14:textId="659662AD">
            <w:pPr>
              <w:pStyle w:val="BodyText"/>
            </w:pPr>
            <w:r w:rsidRPr="00E47B30">
              <w:t xml:space="preserve">Companies must disclose any appointment of a non-independent director to the following committees under the </w:t>
            </w:r>
            <w:r>
              <w:t>“</w:t>
            </w:r>
            <w:r w:rsidRPr="00E47B30">
              <w:t>exceptional and limited circumstances</w:t>
            </w:r>
            <w:r>
              <w:t>”</w:t>
            </w:r>
            <w:r w:rsidRPr="00E47B30">
              <w:t xml:space="preserve"> exception:</w:t>
            </w:r>
          </w:p>
          <w:p w:rsidRPr="00E47B30" w:rsidR="000459BE" w:rsidP="000459BE" w:rsidRDefault="000459BE" w14:paraId="54FDEC12" w14:textId="77777777">
            <w:pPr>
              <w:pStyle w:val="ListBullet"/>
            </w:pPr>
            <w:r w:rsidRPr="00E47B30">
              <w:t>audit committee;</w:t>
            </w:r>
          </w:p>
          <w:p w:rsidRPr="00E47B30" w:rsidR="000459BE" w:rsidP="000459BE" w:rsidRDefault="000459BE" w14:paraId="2C5641DC" w14:textId="77777777">
            <w:pPr>
              <w:pStyle w:val="ListBullet"/>
            </w:pPr>
            <w:r w:rsidRPr="00E47B30">
              <w:t>compensation committee; or</w:t>
            </w:r>
          </w:p>
          <w:p w:rsidRPr="00E47B30" w:rsidR="000459BE" w:rsidP="000459BE" w:rsidRDefault="000459BE" w14:paraId="04296E2A" w14:textId="77777777">
            <w:pPr>
              <w:pStyle w:val="ListBullet"/>
            </w:pPr>
            <w:r w:rsidRPr="00E47B30">
              <w:t>nominating committee.</w:t>
            </w:r>
          </w:p>
          <w:p w:rsidRPr="00E47B30" w:rsidR="000459BE" w:rsidP="000459BE" w:rsidRDefault="000459BE" w14:paraId="4474018C" w14:textId="685F58E4">
            <w:pPr>
              <w:pStyle w:val="BodyText"/>
            </w:pPr>
            <w:r w:rsidRPr="00E47B30">
              <w:t>Disclosure must include the nature of the relationship and the reasons for the determination that the director</w:t>
            </w:r>
            <w:r>
              <w:t>’</w:t>
            </w:r>
            <w:r w:rsidRPr="00E47B30">
              <w:t>s service on the committee is required by the best interests of the company and its shareholders.</w:t>
            </w:r>
          </w:p>
        </w:tc>
        <w:tc>
          <w:tcPr>
            <w:tcW w:w="931" w:type="pct"/>
            <w:shd w:val="clear" w:color="auto" w:fill="FFFFFF"/>
          </w:tcPr>
          <w:p w:rsidRPr="00414307" w:rsidR="000459BE" w:rsidP="000459BE" w:rsidRDefault="000459BE" w14:paraId="316C2BDB" w14:textId="77777777">
            <w:pPr>
              <w:pStyle w:val="BodyText"/>
            </w:pPr>
          </w:p>
        </w:tc>
        <w:tc>
          <w:tcPr>
            <w:tcW w:w="561" w:type="pct"/>
            <w:shd w:val="clear" w:color="auto" w:fill="FFFFFF"/>
          </w:tcPr>
          <w:p w:rsidRPr="007E0B55" w:rsidR="000459BE" w:rsidP="000459BE" w:rsidRDefault="000459BE" w14:paraId="1DDB3BCA" w14:textId="77777777">
            <w:pPr>
              <w:pStyle w:val="BodyText"/>
              <w:contextualSpacing/>
              <w:rPr>
                <w:sz w:val="20"/>
              </w:rPr>
            </w:pPr>
          </w:p>
        </w:tc>
        <w:tc>
          <w:tcPr>
            <w:tcW w:w="344" w:type="pct"/>
            <w:shd w:val="clear" w:color="auto" w:fill="FFFFFF"/>
            <w:vAlign w:val="center"/>
          </w:tcPr>
          <w:p w:rsidRPr="00E47B30" w:rsidR="000459BE" w:rsidP="000459BE" w:rsidRDefault="000459BE" w14:paraId="0581E550"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7E9175F1" w14:textId="6346DCF8">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3033F91B" w14:textId="77777777">
        <w:trPr>
          <w:cantSplit/>
          <w:jc w:val="center"/>
        </w:trPr>
        <w:tc>
          <w:tcPr>
            <w:tcW w:w="690" w:type="pct"/>
            <w:shd w:val="clear" w:color="auto" w:fill="FFFFFF"/>
          </w:tcPr>
          <w:p w:rsidRPr="00E47B30" w:rsidR="000459BE" w:rsidP="000459BE" w:rsidRDefault="000459BE" w14:paraId="54864834" w14:textId="033C8069">
            <w:pPr>
              <w:pStyle w:val="BodyText"/>
              <w:spacing w:after="120"/>
              <w:rPr>
                <w:b/>
                <w:bCs/>
              </w:rPr>
            </w:pPr>
          </w:p>
        </w:tc>
        <w:tc>
          <w:tcPr>
            <w:tcW w:w="523" w:type="pct"/>
            <w:shd w:val="clear" w:color="auto" w:fill="FFFFFF"/>
          </w:tcPr>
          <w:p w:rsidRPr="00E47B30" w:rsidR="000459BE" w:rsidP="000459BE" w:rsidRDefault="000459BE" w14:paraId="3E8CC8C2" w14:textId="77777777">
            <w:pPr>
              <w:pStyle w:val="BodyText"/>
              <w:spacing w:after="120"/>
              <w:jc w:val="center"/>
            </w:pPr>
            <w:r w:rsidRPr="00E47B30">
              <w:t>Sections 5605(c)(2)(B),</w:t>
            </w:r>
          </w:p>
          <w:p w:rsidRPr="00E47B30" w:rsidR="000459BE" w:rsidP="000459BE" w:rsidRDefault="000459BE" w14:paraId="39FE9A76" w14:textId="77777777">
            <w:pPr>
              <w:pStyle w:val="BodyText"/>
              <w:spacing w:after="120"/>
              <w:jc w:val="center"/>
            </w:pPr>
            <w:r w:rsidRPr="00E47B30">
              <w:t>5605(d)(3),</w:t>
            </w:r>
          </w:p>
          <w:p w:rsidRPr="00E47B30" w:rsidR="000459BE" w:rsidP="000459BE" w:rsidRDefault="000459BE" w14:paraId="77786E7D" w14:textId="77777777">
            <w:pPr>
              <w:pStyle w:val="BodyText"/>
              <w:spacing w:after="120"/>
              <w:jc w:val="center"/>
            </w:pPr>
            <w:r w:rsidRPr="00E47B30">
              <w:t>5605(e)(3),</w:t>
            </w:r>
          </w:p>
          <w:p w:rsidRPr="00E47B30" w:rsidR="000459BE" w:rsidP="000459BE" w:rsidRDefault="000459BE" w14:paraId="6233B881" w14:textId="77777777">
            <w:pPr>
              <w:pStyle w:val="BodyText"/>
              <w:spacing w:after="120"/>
              <w:jc w:val="center"/>
            </w:pPr>
            <w:r w:rsidRPr="00E47B30">
              <w:t>5610</w:t>
            </w:r>
          </w:p>
          <w:p w:rsidRPr="00E47B30" w:rsidR="000459BE" w:rsidP="000459BE" w:rsidRDefault="000D00E3" w14:paraId="753A19E2" w14:textId="573B3DA2">
            <w:pPr>
              <w:pStyle w:val="BodyText"/>
              <w:spacing w:after="120"/>
              <w:jc w:val="center"/>
            </w:pPr>
            <w:hyperlink w:history="1" r:id="rId126">
              <w:r w:rsidRPr="00E47B30" w:rsidR="000459BE">
                <w:rPr>
                  <w:rStyle w:val="Hyperlink"/>
                </w:rPr>
                <w:t>Nasdaq Marketplace Rules</w:t>
              </w:r>
            </w:hyperlink>
          </w:p>
        </w:tc>
        <w:tc>
          <w:tcPr>
            <w:tcW w:w="1951" w:type="pct"/>
            <w:shd w:val="clear" w:color="auto" w:fill="FFFFFF"/>
          </w:tcPr>
          <w:p w:rsidR="000459BE" w:rsidP="000459BE" w:rsidRDefault="000459BE" w14:paraId="4111D050" w14:textId="77777777">
            <w:pPr>
              <w:pStyle w:val="BodyText"/>
              <w:rPr>
                <w:b/>
                <w:szCs w:val="24"/>
              </w:rPr>
            </w:pPr>
            <w:r w:rsidRPr="00E47B30">
              <w:rPr>
                <w:b/>
                <w:szCs w:val="24"/>
              </w:rPr>
              <w:t>Website Posting of Nasdaq Corporate Governance Disclosures</w:t>
            </w:r>
          </w:p>
          <w:p w:rsidRPr="00E47B30" w:rsidR="000459BE" w:rsidP="000459BE" w:rsidRDefault="000459BE" w14:paraId="50FFD7F4" w14:textId="763918F3">
            <w:pPr>
              <w:pStyle w:val="BodyText"/>
              <w:rPr>
                <w:b/>
                <w:bCs/>
              </w:rPr>
            </w:pPr>
            <w:r w:rsidRPr="00E47B30">
              <w:rPr>
                <w:szCs w:val="24"/>
              </w:rPr>
              <w:t xml:space="preserve">Nasdaq rules permit listed companies to make a variety of </w:t>
            </w:r>
            <w:r>
              <w:rPr>
                <w:szCs w:val="24"/>
              </w:rPr>
              <w:t>Nasdaq</w:t>
            </w:r>
            <w:r w:rsidRPr="00E47B30">
              <w:rPr>
                <w:szCs w:val="24"/>
              </w:rPr>
              <w:t xml:space="preserve">-required corporate governance disclosures on their website, rather than in proxy statements. </w:t>
            </w:r>
            <w:r w:rsidRPr="00E47B30">
              <w:rPr>
                <w:b/>
                <w:szCs w:val="24"/>
              </w:rPr>
              <w:t>Note that if a company chooses to make these disclosures solely on or through the company</w:t>
            </w:r>
            <w:r>
              <w:rPr>
                <w:b/>
                <w:szCs w:val="24"/>
              </w:rPr>
              <w:t>’</w:t>
            </w:r>
            <w:r w:rsidRPr="00E47B30">
              <w:rPr>
                <w:b/>
                <w:szCs w:val="24"/>
              </w:rPr>
              <w:t>s website, it must so state in its annual proxy statement (or Form 10</w:t>
            </w:r>
            <w:r w:rsidRPr="00E47B30">
              <w:rPr>
                <w:b/>
                <w:szCs w:val="24"/>
              </w:rPr>
              <w:noBreakHyphen/>
              <w:t xml:space="preserve">K, if it does not file a proxy statement) and provide the website address. </w:t>
            </w:r>
            <w:r w:rsidRPr="00E47B30">
              <w:rPr>
                <w:szCs w:val="24"/>
              </w:rPr>
              <w:t>The disclosures permitted to be made by posting on a company</w:t>
            </w:r>
            <w:r>
              <w:rPr>
                <w:szCs w:val="24"/>
              </w:rPr>
              <w:t>’</w:t>
            </w:r>
            <w:r w:rsidRPr="00E47B30">
              <w:rPr>
                <w:szCs w:val="24"/>
              </w:rPr>
              <w:t>s website include</w:t>
            </w:r>
            <w:r>
              <w:rPr>
                <w:szCs w:val="24"/>
              </w:rPr>
              <w:t xml:space="preserve"> the disclosures set forth in the following rows</w:t>
            </w:r>
            <w:r w:rsidRPr="00E47B30">
              <w:rPr>
                <w:szCs w:val="24"/>
              </w:rPr>
              <w:t>:</w:t>
            </w:r>
          </w:p>
        </w:tc>
        <w:tc>
          <w:tcPr>
            <w:tcW w:w="931" w:type="pct"/>
            <w:shd w:val="clear" w:color="auto" w:fill="FFFFFF"/>
          </w:tcPr>
          <w:p w:rsidRPr="00414307" w:rsidR="000459BE" w:rsidP="000459BE" w:rsidRDefault="000459BE" w14:paraId="020C985E" w14:textId="77777777">
            <w:pPr>
              <w:pStyle w:val="BodyText"/>
            </w:pPr>
          </w:p>
        </w:tc>
        <w:tc>
          <w:tcPr>
            <w:tcW w:w="561" w:type="pct"/>
            <w:shd w:val="clear" w:color="auto" w:fill="FFFFFF"/>
          </w:tcPr>
          <w:p w:rsidRPr="007E0B55" w:rsidR="000459BE" w:rsidP="000459BE" w:rsidRDefault="000459BE" w14:paraId="383DF0C4" w14:textId="77777777">
            <w:pPr>
              <w:pStyle w:val="BodyText"/>
              <w:contextualSpacing/>
              <w:rPr>
                <w:sz w:val="20"/>
              </w:rPr>
            </w:pPr>
          </w:p>
        </w:tc>
        <w:tc>
          <w:tcPr>
            <w:tcW w:w="344" w:type="pct"/>
            <w:shd w:val="clear" w:color="auto" w:fill="FFFFFF"/>
            <w:vAlign w:val="center"/>
          </w:tcPr>
          <w:p w:rsidRPr="00E47B30" w:rsidR="000459BE" w:rsidP="000459BE" w:rsidRDefault="000459BE" w14:paraId="3097F031"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3B4A65E6" w14:textId="4FE65713">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63E32F03" w14:textId="77777777">
        <w:trPr>
          <w:cantSplit/>
          <w:jc w:val="center"/>
        </w:trPr>
        <w:tc>
          <w:tcPr>
            <w:tcW w:w="690" w:type="pct"/>
            <w:shd w:val="clear" w:color="auto" w:fill="FFFFFF"/>
          </w:tcPr>
          <w:p w:rsidRPr="00E47B30" w:rsidR="000459BE" w:rsidP="000459BE" w:rsidRDefault="000459BE" w14:paraId="54E83E66" w14:textId="77777777">
            <w:pPr>
              <w:pStyle w:val="BodyText"/>
              <w:spacing w:after="120"/>
              <w:rPr>
                <w:b/>
                <w:bCs/>
              </w:rPr>
            </w:pPr>
          </w:p>
        </w:tc>
        <w:tc>
          <w:tcPr>
            <w:tcW w:w="523" w:type="pct"/>
            <w:shd w:val="clear" w:color="auto" w:fill="FFFFFF"/>
          </w:tcPr>
          <w:p w:rsidRPr="00E47B30" w:rsidR="000459BE" w:rsidP="000459BE" w:rsidRDefault="000459BE" w14:paraId="6CAEB4BB" w14:textId="77777777">
            <w:pPr>
              <w:pStyle w:val="BodyText"/>
              <w:spacing w:after="120"/>
              <w:jc w:val="center"/>
            </w:pPr>
          </w:p>
        </w:tc>
        <w:tc>
          <w:tcPr>
            <w:tcW w:w="1951" w:type="pct"/>
            <w:shd w:val="clear" w:color="auto" w:fill="FFFFFF"/>
          </w:tcPr>
          <w:p w:rsidRPr="00E47B30" w:rsidR="000459BE" w:rsidP="000459BE" w:rsidRDefault="000459BE" w14:paraId="0558566F" w14:textId="2FE26278">
            <w:pPr>
              <w:pStyle w:val="ListBullet"/>
              <w:rPr>
                <w:b/>
                <w:bCs/>
              </w:rPr>
            </w:pPr>
            <w:r w:rsidRPr="00E47B30">
              <w:t>waivers of the company</w:t>
            </w:r>
            <w:r>
              <w:t>’</w:t>
            </w:r>
            <w:r w:rsidRPr="00E47B30">
              <w:t>s code of conduct involving an executive officer or director; and</w:t>
            </w:r>
          </w:p>
          <w:p w:rsidRPr="00E47B30" w:rsidR="000459BE" w:rsidP="000459BE" w:rsidRDefault="000459BE" w14:paraId="28F89467" w14:textId="77777777">
            <w:pPr>
              <w:pStyle w:val="ListBullet"/>
              <w:rPr>
                <w:b/>
                <w:bCs/>
              </w:rPr>
            </w:pPr>
            <w:r w:rsidRPr="00E47B30">
              <w:t>the appointment of a non-independent director, under exceptional and limited circumstances, to serve on the audit, compensation or nominating committee.</w:t>
            </w:r>
          </w:p>
        </w:tc>
        <w:tc>
          <w:tcPr>
            <w:tcW w:w="931" w:type="pct"/>
            <w:shd w:val="clear" w:color="auto" w:fill="FFFFFF"/>
          </w:tcPr>
          <w:p w:rsidRPr="00414307" w:rsidR="000459BE" w:rsidP="000459BE" w:rsidRDefault="000459BE" w14:paraId="6361F01C" w14:textId="77777777">
            <w:pPr>
              <w:pStyle w:val="BodyText"/>
            </w:pPr>
          </w:p>
        </w:tc>
        <w:tc>
          <w:tcPr>
            <w:tcW w:w="561" w:type="pct"/>
            <w:shd w:val="clear" w:color="auto" w:fill="FFFFFF"/>
          </w:tcPr>
          <w:p w:rsidRPr="007E0B55" w:rsidR="000459BE" w:rsidP="000459BE" w:rsidRDefault="000459BE" w14:paraId="3F4540F5" w14:textId="77777777">
            <w:pPr>
              <w:pStyle w:val="BodyText"/>
              <w:contextualSpacing/>
              <w:rPr>
                <w:sz w:val="20"/>
              </w:rPr>
            </w:pPr>
          </w:p>
        </w:tc>
        <w:tc>
          <w:tcPr>
            <w:tcW w:w="344" w:type="pct"/>
            <w:shd w:val="clear" w:color="auto" w:fill="FFFFFF"/>
            <w:vAlign w:val="center"/>
          </w:tcPr>
          <w:p w:rsidRPr="00E47B30" w:rsidR="000459BE" w:rsidP="000459BE" w:rsidRDefault="000459BE" w14:paraId="52A7547C"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5ED9C83A" w14:textId="7860F80E">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6D5103AC" w14:textId="77777777">
        <w:trPr>
          <w:cantSplit/>
          <w:jc w:val="center"/>
        </w:trPr>
        <w:tc>
          <w:tcPr>
            <w:tcW w:w="690" w:type="pct"/>
            <w:shd w:val="clear" w:color="auto" w:fill="FFFFFF"/>
          </w:tcPr>
          <w:p w:rsidRPr="00E47B30" w:rsidR="000459BE" w:rsidP="000459BE" w:rsidRDefault="000459BE" w14:paraId="1D8F6D0B" w14:textId="4316DCD0">
            <w:pPr>
              <w:pStyle w:val="BodyText"/>
              <w:spacing w:after="120"/>
              <w:rPr>
                <w:b/>
                <w:bCs/>
              </w:rPr>
            </w:pPr>
          </w:p>
        </w:tc>
        <w:tc>
          <w:tcPr>
            <w:tcW w:w="523" w:type="pct"/>
            <w:shd w:val="clear" w:color="auto" w:fill="FFFFFF"/>
          </w:tcPr>
          <w:p w:rsidRPr="00E47B30" w:rsidR="000459BE" w:rsidP="000459BE" w:rsidRDefault="000459BE" w14:paraId="22570881" w14:textId="77777777">
            <w:pPr>
              <w:pStyle w:val="BodyText"/>
              <w:spacing w:after="120"/>
              <w:jc w:val="center"/>
            </w:pPr>
            <w:r w:rsidRPr="00E47B30">
              <w:t>Section 5615(c)(1)</w:t>
            </w:r>
          </w:p>
          <w:p w:rsidRPr="00E47B30" w:rsidR="000459BE" w:rsidP="000459BE" w:rsidRDefault="000D00E3" w14:paraId="7FEDF79A" w14:textId="37AAB491">
            <w:pPr>
              <w:pStyle w:val="BodyText"/>
              <w:spacing w:after="120"/>
              <w:jc w:val="center"/>
            </w:pPr>
            <w:hyperlink w:history="1" r:id="rId127">
              <w:r w:rsidRPr="00E47B30" w:rsidR="000459BE">
                <w:rPr>
                  <w:rStyle w:val="Hyperlink"/>
                </w:rPr>
                <w:t>Nasdaq Marketplace Rules</w:t>
              </w:r>
            </w:hyperlink>
          </w:p>
        </w:tc>
        <w:tc>
          <w:tcPr>
            <w:tcW w:w="1951" w:type="pct"/>
            <w:shd w:val="clear" w:color="auto" w:fill="FFFFFF"/>
          </w:tcPr>
          <w:p w:rsidRPr="00E47B30" w:rsidR="000459BE" w:rsidP="000459BE" w:rsidRDefault="000459BE" w14:paraId="6740DEBB" w14:textId="2A5D0ADB">
            <w:pPr>
              <w:pStyle w:val="BodyText"/>
            </w:pPr>
            <w:r w:rsidRPr="00E47B30">
              <w:rPr>
                <w:b/>
                <w:bCs/>
              </w:rPr>
              <w:t>Controlled company status/exception</w:t>
            </w:r>
            <w:r>
              <w:t xml:space="preserve">:  </w:t>
            </w:r>
            <w:r w:rsidRPr="00E47B30">
              <w:t xml:space="preserve">a controlled company relying on exceptions to the Nasdaq requirements must disclose that it is a </w:t>
            </w:r>
            <w:r>
              <w:t>“</w:t>
            </w:r>
            <w:r w:rsidRPr="00E47B30">
              <w:t>controlled company</w:t>
            </w:r>
            <w:r>
              <w:t>”</w:t>
            </w:r>
            <w:r w:rsidRPr="00E47B30">
              <w:t xml:space="preserve"> and the basis for that determination.</w:t>
            </w:r>
          </w:p>
        </w:tc>
        <w:tc>
          <w:tcPr>
            <w:tcW w:w="931" w:type="pct"/>
            <w:shd w:val="clear" w:color="auto" w:fill="FFFFFF"/>
          </w:tcPr>
          <w:p w:rsidRPr="00414307" w:rsidR="000459BE" w:rsidP="000459BE" w:rsidRDefault="000459BE" w14:paraId="3EAD9BA7" w14:textId="77777777">
            <w:pPr>
              <w:pStyle w:val="BodyText"/>
            </w:pPr>
          </w:p>
        </w:tc>
        <w:tc>
          <w:tcPr>
            <w:tcW w:w="561" w:type="pct"/>
            <w:shd w:val="clear" w:color="auto" w:fill="FFFFFF"/>
          </w:tcPr>
          <w:p w:rsidRPr="007E0B55" w:rsidR="000459BE" w:rsidP="000459BE" w:rsidRDefault="000459BE" w14:paraId="253928D7" w14:textId="77777777">
            <w:pPr>
              <w:pStyle w:val="BodyText"/>
              <w:contextualSpacing/>
              <w:rPr>
                <w:sz w:val="20"/>
              </w:rPr>
            </w:pPr>
          </w:p>
        </w:tc>
        <w:tc>
          <w:tcPr>
            <w:tcW w:w="344" w:type="pct"/>
            <w:shd w:val="clear" w:color="auto" w:fill="FFFFFF"/>
            <w:vAlign w:val="center"/>
          </w:tcPr>
          <w:p w:rsidRPr="00E47B30" w:rsidR="000459BE" w:rsidP="000459BE" w:rsidRDefault="000459BE" w14:paraId="3B191737"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1CE08B69" w14:textId="4C9C62A2">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695A3631" w14:textId="77777777">
        <w:trPr>
          <w:cantSplit/>
          <w:jc w:val="center"/>
        </w:trPr>
        <w:tc>
          <w:tcPr>
            <w:tcW w:w="690" w:type="pct"/>
            <w:shd w:val="clear" w:color="auto" w:fill="FFFFFF"/>
          </w:tcPr>
          <w:p w:rsidRPr="00E47B30" w:rsidR="000459BE" w:rsidP="000459BE" w:rsidRDefault="000459BE" w14:paraId="5806D718" w14:textId="5F21F8E5">
            <w:pPr>
              <w:pStyle w:val="BodyText"/>
              <w:spacing w:after="120"/>
              <w:rPr>
                <w:b/>
                <w:bCs/>
                <w:highlight w:val="yellow"/>
              </w:rPr>
            </w:pPr>
          </w:p>
        </w:tc>
        <w:tc>
          <w:tcPr>
            <w:tcW w:w="523" w:type="pct"/>
            <w:shd w:val="clear" w:color="auto" w:fill="FFFFFF"/>
          </w:tcPr>
          <w:p w:rsidRPr="00F76BDC" w:rsidR="000459BE" w:rsidP="000459BE" w:rsidRDefault="000459BE" w14:paraId="19768611" w14:textId="77777777">
            <w:pPr>
              <w:pStyle w:val="BodyText"/>
              <w:spacing w:after="120"/>
              <w:jc w:val="center"/>
            </w:pPr>
            <w:r w:rsidRPr="00F76BDC">
              <w:t>Section 5606</w:t>
            </w:r>
          </w:p>
          <w:p w:rsidRPr="00F76BDC" w:rsidR="000459BE" w:rsidP="000459BE" w:rsidRDefault="000D00E3" w14:paraId="7302058D" w14:textId="209C513D">
            <w:pPr>
              <w:pStyle w:val="BodyText"/>
              <w:spacing w:after="120"/>
              <w:jc w:val="center"/>
            </w:pPr>
            <w:hyperlink w:history="1" r:id="rId128">
              <w:r w:rsidRPr="00F76BDC" w:rsidR="000459BE">
                <w:rPr>
                  <w:rStyle w:val="Hyperlink"/>
                </w:rPr>
                <w:t>Nasdaq Marketplace Rules</w:t>
              </w:r>
            </w:hyperlink>
          </w:p>
        </w:tc>
        <w:tc>
          <w:tcPr>
            <w:tcW w:w="1951" w:type="pct"/>
            <w:shd w:val="clear" w:color="auto" w:fill="FFFFFF"/>
          </w:tcPr>
          <w:p w:rsidRPr="00F76BDC" w:rsidR="000459BE" w:rsidP="000459BE" w:rsidRDefault="000459BE" w14:paraId="0B236332" w14:textId="53522E6F">
            <w:pPr>
              <w:pStyle w:val="BodyText"/>
            </w:pPr>
            <w:r w:rsidRPr="00F76BDC">
              <w:t>Nasdaq Board Diversity Rules.</w:t>
            </w:r>
          </w:p>
        </w:tc>
        <w:tc>
          <w:tcPr>
            <w:tcW w:w="931" w:type="pct"/>
            <w:shd w:val="clear" w:color="auto" w:fill="FFFFFF"/>
          </w:tcPr>
          <w:p w:rsidRPr="00414307" w:rsidR="000459BE" w:rsidP="000459BE" w:rsidRDefault="000D00E3" w14:paraId="67A1286A" w14:textId="19528563">
            <w:pPr>
              <w:pStyle w:val="BodyText"/>
            </w:pPr>
            <w:hyperlink w:history="1" r:id="rId129">
              <w:r w:rsidRPr="00414307" w:rsidR="000459BE">
                <w:rPr>
                  <w:rStyle w:val="Hyperlink"/>
                  <w:szCs w:val="22"/>
                </w:rPr>
                <w:t>SEC Approves Nasdaq Board Diversity Rules</w:t>
              </w:r>
            </w:hyperlink>
            <w:r w:rsidR="000459BE">
              <w:rPr>
                <w:szCs w:val="22"/>
              </w:rPr>
              <w:t xml:space="preserve"> (Goodwin alert)</w:t>
            </w:r>
          </w:p>
        </w:tc>
        <w:tc>
          <w:tcPr>
            <w:tcW w:w="561" w:type="pct"/>
            <w:shd w:val="clear" w:color="auto" w:fill="FFFFFF"/>
          </w:tcPr>
          <w:p w:rsidRPr="007E0B55" w:rsidR="000459BE" w:rsidP="000459BE" w:rsidRDefault="000459BE" w14:paraId="2C984DA4" w14:textId="77777777">
            <w:pPr>
              <w:pStyle w:val="BodyText"/>
              <w:contextualSpacing/>
              <w:rPr>
                <w:sz w:val="20"/>
                <w:highlight w:val="yellow"/>
              </w:rPr>
            </w:pPr>
          </w:p>
        </w:tc>
        <w:tc>
          <w:tcPr>
            <w:tcW w:w="344" w:type="pct"/>
            <w:shd w:val="clear" w:color="auto" w:fill="FFFFFF"/>
            <w:vAlign w:val="center"/>
          </w:tcPr>
          <w:p w:rsidRPr="00E47B30" w:rsidR="000459BE" w:rsidP="000459BE" w:rsidRDefault="000459BE" w14:paraId="2680CFE6"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69E74BF7" w14:textId="36B46560">
            <w:pPr>
              <w:pStyle w:val="BodyText"/>
              <w:spacing w:after="0"/>
              <w:jc w:val="center"/>
              <w:rPr>
                <w:highlight w:val="yellow"/>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3926F594" w14:textId="77777777">
        <w:trPr>
          <w:cantSplit/>
          <w:jc w:val="center"/>
        </w:trPr>
        <w:tc>
          <w:tcPr>
            <w:tcW w:w="5000" w:type="pct"/>
            <w:gridSpan w:val="6"/>
          </w:tcPr>
          <w:p w:rsidR="000459BE" w:rsidP="000459BE" w:rsidRDefault="000459BE" w14:paraId="3D2E5C83" w14:textId="77777777">
            <w:pPr>
              <w:pStyle w:val="BodyText"/>
              <w:spacing w:after="0"/>
              <w:jc w:val="center"/>
            </w:pPr>
          </w:p>
          <w:p w:rsidR="000459BE" w:rsidP="000459BE" w:rsidRDefault="000459BE" w14:paraId="325D98D8" w14:textId="4E4CCD7E">
            <w:pPr>
              <w:pStyle w:val="BodyText"/>
              <w:spacing w:after="0"/>
              <w:jc w:val="center"/>
            </w:pPr>
            <w:r w:rsidRPr="00E47B30">
              <w:t>Items 11-</w:t>
            </w:r>
            <w:r>
              <w:t>18</w:t>
            </w:r>
            <w:r w:rsidRPr="00E47B30">
              <w:t xml:space="preserve"> </w:t>
            </w:r>
            <w:r>
              <w:t xml:space="preserve">have been </w:t>
            </w:r>
            <w:r w:rsidRPr="00E47B30">
              <w:t>omitted for brevity</w:t>
            </w:r>
            <w:r>
              <w:t>. D</w:t>
            </w:r>
            <w:r w:rsidRPr="00E47B30">
              <w:t>etermine whether disclosure is required in response to these items</w:t>
            </w:r>
            <w:r>
              <w:t xml:space="preserve">. Item 22 has been omitted because it applies only to investment companies. </w:t>
            </w:r>
          </w:p>
          <w:p w:rsidRPr="00E47B30" w:rsidR="000459BE" w:rsidP="000459BE" w:rsidRDefault="000459BE" w14:paraId="744C9617" w14:textId="6C346D9A">
            <w:pPr>
              <w:pStyle w:val="BodyText"/>
              <w:spacing w:after="0"/>
              <w:jc w:val="center"/>
              <w:rPr>
                <w:i/>
                <w:iCs/>
              </w:rPr>
            </w:pPr>
          </w:p>
        </w:tc>
      </w:tr>
      <w:tr w:rsidRPr="00E47B30" w:rsidR="000459BE" w:rsidTr="00F139E6" w14:paraId="670D2E66" w14:textId="77777777">
        <w:trPr>
          <w:cantSplit/>
          <w:jc w:val="center"/>
        </w:trPr>
        <w:tc>
          <w:tcPr>
            <w:tcW w:w="5000" w:type="pct"/>
            <w:gridSpan w:val="6"/>
            <w:shd w:val="clear" w:color="auto" w:fill="D9D9D9" w:themeFill="background1" w:themeFillShade="D9"/>
          </w:tcPr>
          <w:p w:rsidRPr="00F139E6" w:rsidR="000459BE" w:rsidP="000459BE" w:rsidRDefault="000459BE" w14:paraId="396B5E4B" w14:textId="0903A224">
            <w:pPr>
              <w:spacing w:after="0"/>
              <w:rPr>
                <w:b/>
                <w:bCs/>
                <w:szCs w:val="22"/>
              </w:rPr>
            </w:pPr>
            <w:r w:rsidRPr="00F139E6">
              <w:rPr>
                <w:b/>
                <w:bCs/>
              </w:rPr>
              <w:t xml:space="preserve">Item 19. Amendment of </w:t>
            </w:r>
            <w:r>
              <w:rPr>
                <w:b/>
                <w:bCs/>
              </w:rPr>
              <w:t>charter</w:t>
            </w:r>
            <w:r w:rsidRPr="00F139E6">
              <w:rPr>
                <w:b/>
                <w:bCs/>
              </w:rPr>
              <w:t>, bylaws or other documents.</w:t>
            </w:r>
          </w:p>
        </w:tc>
      </w:tr>
      <w:tr w:rsidRPr="00E47B30" w:rsidR="000459BE" w:rsidTr="00E708F1" w14:paraId="6D96527A" w14:textId="77777777">
        <w:trPr>
          <w:cantSplit/>
          <w:jc w:val="center"/>
        </w:trPr>
        <w:tc>
          <w:tcPr>
            <w:tcW w:w="690" w:type="pct"/>
          </w:tcPr>
          <w:p w:rsidRPr="00E47B30" w:rsidR="000459BE" w:rsidP="000459BE" w:rsidRDefault="000459BE" w14:paraId="42D80D79" w14:textId="38640D7F">
            <w:pPr>
              <w:pStyle w:val="BodyText"/>
              <w:spacing w:after="120"/>
            </w:pPr>
            <w:r>
              <w:t>Item 19. Amendment of charter, bylaws or other documents.</w:t>
            </w:r>
          </w:p>
        </w:tc>
        <w:tc>
          <w:tcPr>
            <w:tcW w:w="523" w:type="pct"/>
          </w:tcPr>
          <w:p w:rsidRPr="00E47B30" w:rsidR="000459BE" w:rsidP="000459BE" w:rsidRDefault="000459BE" w14:paraId="7589A49C" w14:textId="4552B3A2">
            <w:pPr>
              <w:pStyle w:val="BodyText"/>
              <w:spacing w:after="120"/>
              <w:jc w:val="center"/>
            </w:pPr>
            <w:r>
              <w:t>Item 19.</w:t>
            </w:r>
          </w:p>
        </w:tc>
        <w:tc>
          <w:tcPr>
            <w:tcW w:w="1951" w:type="pct"/>
          </w:tcPr>
          <w:p w:rsidR="000459BE" w:rsidP="000459BE" w:rsidRDefault="000459BE" w14:paraId="77B5B221" w14:textId="5F6A0521">
            <w:pPr>
              <w:pStyle w:val="BodyText"/>
            </w:pPr>
            <w:r>
              <w:t xml:space="preserve">If action is to be taken with respect to any amendment of the company’s charter, bylaws or other documents as to which information is not required elsewhere in the proxy statement, state briefly the reasons for the amendment and the general effect of the amendment. </w:t>
            </w:r>
          </w:p>
          <w:p w:rsidRPr="00F139E6" w:rsidR="000459BE" w:rsidP="000459BE" w:rsidRDefault="000459BE" w14:paraId="47E8D17E" w14:textId="0A218923">
            <w:pPr>
              <w:pStyle w:val="BodyText"/>
              <w:rPr>
                <w:i/>
                <w:iCs/>
              </w:rPr>
            </w:pPr>
            <w:r>
              <w:rPr>
                <w:i/>
                <w:iCs/>
              </w:rPr>
              <w:t>Confirm that this disclosure, if required, complies with SEC requirements.</w:t>
            </w:r>
          </w:p>
          <w:p w:rsidRPr="00E47B30" w:rsidR="000459BE" w:rsidP="000459BE" w:rsidRDefault="000459BE" w14:paraId="3C7CE3B7" w14:textId="3A1020F2">
            <w:pPr>
              <w:pStyle w:val="BodyText"/>
            </w:pPr>
          </w:p>
        </w:tc>
        <w:tc>
          <w:tcPr>
            <w:tcW w:w="931" w:type="pct"/>
          </w:tcPr>
          <w:p w:rsidR="000459BE" w:rsidP="000459BE" w:rsidRDefault="000459BE" w14:paraId="55702897" w14:textId="697B4B99">
            <w:pPr>
              <w:pStyle w:val="BodyText"/>
            </w:pPr>
            <w:r>
              <w:t xml:space="preserve">If the matter to be acted upon is the classification of directors, state whether vacancies which occur during the year may be filled by the board of directors to serve only until the next annual meeting or may be filled for the remainder of the full term. </w:t>
            </w:r>
          </w:p>
          <w:p w:rsidRPr="00414307" w:rsidR="000459BE" w:rsidP="000459BE" w:rsidRDefault="000459BE" w14:paraId="1E38C4D1" w14:textId="6AC2B028">
            <w:pPr>
              <w:pStyle w:val="BodyText"/>
            </w:pPr>
            <w:r>
              <w:t>Item 19 states that “[a]</w:t>
            </w:r>
            <w:proofErr w:type="spellStart"/>
            <w:r>
              <w:t>ttention</w:t>
            </w:r>
            <w:proofErr w:type="spellEnd"/>
            <w:r>
              <w:t xml:space="preserve"> is directed to the discussion of disclosure regarding anti-takeover and similar proposals in Release No. 34-15230 (October 13, 1978).”</w:t>
            </w:r>
          </w:p>
        </w:tc>
        <w:tc>
          <w:tcPr>
            <w:tcW w:w="561" w:type="pct"/>
          </w:tcPr>
          <w:p w:rsidRPr="007E0B55" w:rsidR="000459BE" w:rsidP="000459BE" w:rsidRDefault="000459BE" w14:paraId="02E33788" w14:textId="77777777">
            <w:pPr>
              <w:pStyle w:val="BodyText"/>
              <w:contextualSpacing/>
              <w:rPr>
                <w:sz w:val="20"/>
              </w:rPr>
            </w:pPr>
          </w:p>
        </w:tc>
        <w:tc>
          <w:tcPr>
            <w:tcW w:w="344" w:type="pct"/>
            <w:vAlign w:val="center"/>
          </w:tcPr>
          <w:p w:rsidRPr="00E47B30" w:rsidR="000459BE" w:rsidP="000459BE" w:rsidRDefault="000459BE" w14:paraId="6B166C89"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61D61952" w14:textId="564EB7E8">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F139E6" w14:paraId="482581AE" w14:textId="77777777">
        <w:trPr>
          <w:cantSplit/>
          <w:jc w:val="center"/>
        </w:trPr>
        <w:tc>
          <w:tcPr>
            <w:tcW w:w="5000" w:type="pct"/>
            <w:gridSpan w:val="6"/>
            <w:shd w:val="clear" w:color="auto" w:fill="D9D9D9" w:themeFill="background1" w:themeFillShade="D9"/>
          </w:tcPr>
          <w:p w:rsidRPr="00F139E6" w:rsidR="000459BE" w:rsidP="000459BE" w:rsidRDefault="000459BE" w14:paraId="3876FF1B" w14:textId="17772EE3">
            <w:pPr>
              <w:spacing w:after="0"/>
              <w:rPr>
                <w:b/>
                <w:bCs/>
                <w:szCs w:val="22"/>
              </w:rPr>
            </w:pPr>
            <w:r w:rsidRPr="00F139E6">
              <w:rPr>
                <w:b/>
                <w:bCs/>
              </w:rPr>
              <w:t>Item 20. Other proposed action.</w:t>
            </w:r>
          </w:p>
        </w:tc>
      </w:tr>
      <w:tr w:rsidRPr="00E47B30" w:rsidR="000459BE" w:rsidTr="00E708F1" w14:paraId="6A935EF1" w14:textId="77777777">
        <w:trPr>
          <w:cantSplit/>
          <w:jc w:val="center"/>
        </w:trPr>
        <w:tc>
          <w:tcPr>
            <w:tcW w:w="690" w:type="pct"/>
          </w:tcPr>
          <w:p w:rsidRPr="00E47B30" w:rsidR="000459BE" w:rsidP="000459BE" w:rsidRDefault="000459BE" w14:paraId="7034212C" w14:textId="2881D28D">
            <w:pPr>
              <w:pStyle w:val="BodyText"/>
              <w:spacing w:after="120"/>
            </w:pPr>
            <w:r w:rsidRPr="00F139E6">
              <w:lastRenderedPageBreak/>
              <w:t>Item 20. Other proposed action.</w:t>
            </w:r>
          </w:p>
        </w:tc>
        <w:tc>
          <w:tcPr>
            <w:tcW w:w="523" w:type="pct"/>
          </w:tcPr>
          <w:p w:rsidRPr="00E47B30" w:rsidR="000459BE" w:rsidP="000459BE" w:rsidRDefault="000459BE" w14:paraId="1AE97F76" w14:textId="77777777">
            <w:pPr>
              <w:pStyle w:val="BodyText"/>
              <w:spacing w:after="120"/>
              <w:jc w:val="center"/>
            </w:pPr>
          </w:p>
        </w:tc>
        <w:tc>
          <w:tcPr>
            <w:tcW w:w="1951" w:type="pct"/>
          </w:tcPr>
          <w:p w:rsidR="000459BE" w:rsidP="000459BE" w:rsidRDefault="000459BE" w14:paraId="3F44EC09" w14:textId="77777777">
            <w:pPr>
              <w:pStyle w:val="BodyText"/>
            </w:pPr>
            <w:r w:rsidRPr="00F139E6">
              <w:t xml:space="preserve">If action is to be taken on any matter not specifically referred to in this Schedule 14A, describe briefly the substance of each such matter in substantially the same degree of detail as is required by Items 5 to 19, inclusive, of </w:t>
            </w:r>
            <w:r>
              <w:t>Schedule 14A.</w:t>
            </w:r>
          </w:p>
          <w:p w:rsidRPr="003359B1" w:rsidR="000459BE" w:rsidP="000459BE" w:rsidRDefault="000459BE" w14:paraId="0ACB89B1" w14:textId="2FBD047B">
            <w:pPr>
              <w:pStyle w:val="BodyText"/>
              <w:rPr>
                <w:i/>
                <w:iCs/>
              </w:rPr>
            </w:pPr>
            <w:r>
              <w:rPr>
                <w:i/>
                <w:iCs/>
              </w:rPr>
              <w:t>Confirm that this disclosure, if required, complies with SEC requirements.</w:t>
            </w:r>
          </w:p>
        </w:tc>
        <w:tc>
          <w:tcPr>
            <w:tcW w:w="931" w:type="pct"/>
          </w:tcPr>
          <w:p w:rsidRPr="00414307" w:rsidR="000459BE" w:rsidP="000459BE" w:rsidRDefault="000459BE" w14:paraId="3D6E0B24" w14:textId="77777777">
            <w:pPr>
              <w:pStyle w:val="BodyText"/>
            </w:pPr>
          </w:p>
        </w:tc>
        <w:tc>
          <w:tcPr>
            <w:tcW w:w="561" w:type="pct"/>
          </w:tcPr>
          <w:p w:rsidRPr="007E0B55" w:rsidR="000459BE" w:rsidP="000459BE" w:rsidRDefault="000459BE" w14:paraId="41AE34A0" w14:textId="77777777">
            <w:pPr>
              <w:pStyle w:val="BodyText"/>
              <w:contextualSpacing/>
              <w:rPr>
                <w:sz w:val="20"/>
              </w:rPr>
            </w:pPr>
          </w:p>
        </w:tc>
        <w:tc>
          <w:tcPr>
            <w:tcW w:w="344" w:type="pct"/>
            <w:vAlign w:val="center"/>
          </w:tcPr>
          <w:p w:rsidRPr="00E47B30" w:rsidR="000459BE" w:rsidP="000459BE" w:rsidRDefault="000459BE" w14:paraId="0D64B933"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5325C214" w14:textId="6C219265">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774D17" w14:paraId="151E9AE5" w14:textId="77777777">
        <w:trPr>
          <w:cantSplit/>
          <w:jc w:val="center"/>
        </w:trPr>
        <w:tc>
          <w:tcPr>
            <w:tcW w:w="5000" w:type="pct"/>
            <w:gridSpan w:val="6"/>
            <w:shd w:val="clear" w:color="auto" w:fill="D9D9D9" w:themeFill="background1" w:themeFillShade="D9"/>
          </w:tcPr>
          <w:p w:rsidRPr="00774D17" w:rsidR="000459BE" w:rsidP="000459BE" w:rsidRDefault="000459BE" w14:paraId="71C10661" w14:textId="1DDA5C83">
            <w:pPr>
              <w:spacing w:after="0"/>
              <w:rPr>
                <w:b/>
                <w:bCs/>
                <w:szCs w:val="22"/>
              </w:rPr>
            </w:pPr>
            <w:r>
              <w:rPr>
                <w:b/>
                <w:bCs/>
                <w:szCs w:val="22"/>
              </w:rPr>
              <w:t>Item 21. Voting Procedures</w:t>
            </w:r>
          </w:p>
        </w:tc>
      </w:tr>
      <w:tr w:rsidRPr="00E47B30" w:rsidR="000459BE" w:rsidTr="00E708F1" w14:paraId="5824AC2A" w14:textId="77777777">
        <w:trPr>
          <w:cantSplit/>
          <w:jc w:val="center"/>
        </w:trPr>
        <w:tc>
          <w:tcPr>
            <w:tcW w:w="690" w:type="pct"/>
          </w:tcPr>
          <w:p w:rsidRPr="00E47B30" w:rsidR="000459BE" w:rsidP="000459BE" w:rsidRDefault="000459BE" w14:paraId="26A8071C" w14:textId="77777777">
            <w:pPr>
              <w:pStyle w:val="BodyText"/>
              <w:spacing w:after="120"/>
            </w:pPr>
            <w:r w:rsidRPr="00E47B30">
              <w:t>Item 21. Voting Procedures</w:t>
            </w:r>
          </w:p>
        </w:tc>
        <w:tc>
          <w:tcPr>
            <w:tcW w:w="523" w:type="pct"/>
          </w:tcPr>
          <w:p w:rsidRPr="00E47B30" w:rsidR="000459BE" w:rsidP="000459BE" w:rsidRDefault="000459BE" w14:paraId="17257692" w14:textId="35E34FA9">
            <w:pPr>
              <w:pStyle w:val="BodyText"/>
              <w:spacing w:after="120"/>
              <w:jc w:val="center"/>
            </w:pPr>
            <w:r w:rsidRPr="00E47B30">
              <w:t>Item 21</w:t>
            </w:r>
          </w:p>
        </w:tc>
        <w:tc>
          <w:tcPr>
            <w:tcW w:w="1951" w:type="pct"/>
          </w:tcPr>
          <w:p w:rsidRPr="00E47B30" w:rsidR="000459BE" w:rsidP="000459BE" w:rsidRDefault="000459BE" w14:paraId="39F1B01A" w14:textId="1C44D8B6">
            <w:pPr>
              <w:pStyle w:val="BodyText"/>
            </w:pPr>
            <w:r w:rsidRPr="00E47B30">
              <w:t>As to each matter which is to be submitted to a vote of security holders, furnish the following information</w:t>
            </w:r>
            <w:r>
              <w:t xml:space="preserve">:  </w:t>
            </w:r>
          </w:p>
          <w:p w:rsidRPr="00E47B30" w:rsidR="000459BE" w:rsidP="000459BE" w:rsidRDefault="000459BE" w14:paraId="2B540885" w14:textId="77777777">
            <w:pPr>
              <w:pStyle w:val="BodyText"/>
            </w:pPr>
            <w:r w:rsidRPr="00E47B30">
              <w:t xml:space="preserve">(a) State the vote required for approval or election, other than for the approval of auditors. </w:t>
            </w:r>
          </w:p>
          <w:p w:rsidRPr="00E47B30" w:rsidR="000459BE" w:rsidP="000459BE" w:rsidRDefault="000459BE" w14:paraId="577463E5" w14:textId="7FBFC91A">
            <w:pPr>
              <w:pStyle w:val="BodyText"/>
            </w:pPr>
            <w:r w:rsidRPr="00E47B30">
              <w:t xml:space="preserve">(b) Disclose the method by which votes will be counted, including the treatment and effect under applicable state law and </w:t>
            </w:r>
            <w:r>
              <w:t>the company’s</w:t>
            </w:r>
            <w:r w:rsidRPr="00E47B30">
              <w:t xml:space="preserve"> charter and bylaw provisions of abstentions, broker non-votes, and, to the extent applicable, a security holder</w:t>
            </w:r>
            <w:r>
              <w:t>’</w:t>
            </w:r>
            <w:r w:rsidRPr="00E47B30">
              <w:t xml:space="preserve">s withholding of authority to vote for a nominee in an election of directors. </w:t>
            </w:r>
          </w:p>
          <w:p w:rsidR="000459BE" w:rsidP="000459BE" w:rsidRDefault="000459BE" w14:paraId="43578E7C" w14:textId="4CFBE2BD">
            <w:pPr>
              <w:pStyle w:val="BodyText"/>
            </w:pPr>
            <w:r w:rsidRPr="00E47B30">
              <w:t>(c) When applicable, disclose how the soliciting person intends to treat proxy authority granted in favor of any other soliciting person</w:t>
            </w:r>
            <w:r>
              <w:t>’</w:t>
            </w:r>
            <w:r w:rsidRPr="00E47B30">
              <w:t xml:space="preserve">s nominees if such other soliciting person abandons its solicitation or fails to comply with </w:t>
            </w:r>
            <w:r>
              <w:t xml:space="preserve">Rule </w:t>
            </w:r>
            <w:proofErr w:type="spellStart"/>
            <w:r>
              <w:t>14a</w:t>
            </w:r>
            <w:proofErr w:type="spellEnd"/>
            <w:r w:rsidRPr="00E47B30">
              <w:t>-19.</w:t>
            </w:r>
          </w:p>
          <w:p w:rsidRPr="008935E3" w:rsidR="000459BE" w:rsidP="000459BE" w:rsidRDefault="000459BE" w14:paraId="134277C3" w14:textId="5FC39E9F">
            <w:pPr>
              <w:pStyle w:val="BodyText"/>
              <w:rPr>
                <w:i/>
                <w:iCs/>
              </w:rPr>
            </w:pPr>
            <w:r>
              <w:rPr>
                <w:i/>
                <w:iCs/>
              </w:rPr>
              <w:t>Confirm that the proxy statement complies with these requirements.</w:t>
            </w:r>
          </w:p>
        </w:tc>
        <w:tc>
          <w:tcPr>
            <w:tcW w:w="931" w:type="pct"/>
          </w:tcPr>
          <w:p w:rsidRPr="00414307" w:rsidR="000459BE" w:rsidP="000459BE" w:rsidRDefault="000459BE" w14:paraId="77F93A92" w14:textId="77777777">
            <w:pPr>
              <w:pStyle w:val="BodyText"/>
            </w:pPr>
          </w:p>
        </w:tc>
        <w:tc>
          <w:tcPr>
            <w:tcW w:w="561" w:type="pct"/>
          </w:tcPr>
          <w:p w:rsidRPr="007E0B55" w:rsidR="000459BE" w:rsidP="000459BE" w:rsidRDefault="000459BE" w14:paraId="2F48DEDD" w14:textId="77777777">
            <w:pPr>
              <w:pStyle w:val="BodyText"/>
              <w:contextualSpacing/>
              <w:rPr>
                <w:sz w:val="20"/>
              </w:rPr>
            </w:pPr>
          </w:p>
        </w:tc>
        <w:tc>
          <w:tcPr>
            <w:tcW w:w="344" w:type="pct"/>
            <w:vAlign w:val="center"/>
          </w:tcPr>
          <w:p w:rsidRPr="00E47B30" w:rsidR="000459BE" w:rsidP="000459BE" w:rsidRDefault="000459BE" w14:paraId="74F805A0"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199A8673" w14:textId="69FCBD8A">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6F4CAE" w14:paraId="721AE021" w14:textId="77777777">
        <w:trPr>
          <w:cantSplit/>
          <w:jc w:val="center"/>
        </w:trPr>
        <w:tc>
          <w:tcPr>
            <w:tcW w:w="5000" w:type="pct"/>
            <w:gridSpan w:val="6"/>
            <w:shd w:val="clear" w:color="auto" w:fill="D9D9D9" w:themeFill="background1" w:themeFillShade="D9"/>
          </w:tcPr>
          <w:p w:rsidRPr="006F4CAE" w:rsidR="000459BE" w:rsidP="000459BE" w:rsidRDefault="000459BE" w14:paraId="14C55A03" w14:textId="57794EF0">
            <w:pPr>
              <w:spacing w:after="0"/>
              <w:rPr>
                <w:b/>
                <w:bCs/>
                <w:szCs w:val="22"/>
              </w:rPr>
            </w:pPr>
            <w:r>
              <w:rPr>
                <w:b/>
                <w:bCs/>
                <w:szCs w:val="22"/>
              </w:rPr>
              <w:t>Item 23.  Delivery of Documents to Security Holders Sharing an Address</w:t>
            </w:r>
          </w:p>
        </w:tc>
      </w:tr>
      <w:tr w:rsidRPr="00E47B30" w:rsidR="000459BE" w:rsidTr="00E708F1" w14:paraId="44278E6F" w14:textId="77777777">
        <w:trPr>
          <w:cantSplit/>
          <w:jc w:val="center"/>
        </w:trPr>
        <w:tc>
          <w:tcPr>
            <w:tcW w:w="690" w:type="pct"/>
          </w:tcPr>
          <w:p w:rsidRPr="00E47B30" w:rsidR="000459BE" w:rsidP="000459BE" w:rsidRDefault="000459BE" w14:paraId="11ED9E8D" w14:textId="2F815162">
            <w:pPr>
              <w:pStyle w:val="BodyText"/>
              <w:spacing w:after="120"/>
            </w:pPr>
            <w:r w:rsidRPr="00E47B30">
              <w:lastRenderedPageBreak/>
              <w:t>Item 23. Delivery of Documents to Security Holders Sharing an Address (</w:t>
            </w:r>
            <w:r>
              <w:t>“</w:t>
            </w:r>
            <w:r w:rsidRPr="00E47B30">
              <w:t>Householding</w:t>
            </w:r>
            <w:r>
              <w:t>”</w:t>
            </w:r>
            <w:r w:rsidRPr="00E47B30">
              <w:t>)</w:t>
            </w:r>
          </w:p>
        </w:tc>
        <w:tc>
          <w:tcPr>
            <w:tcW w:w="523" w:type="pct"/>
          </w:tcPr>
          <w:p w:rsidRPr="00E47B30" w:rsidR="000459BE" w:rsidP="000459BE" w:rsidRDefault="000459BE" w14:paraId="63E85226" w14:textId="07F29F05">
            <w:pPr>
              <w:pStyle w:val="BodyText"/>
              <w:spacing w:after="120"/>
              <w:jc w:val="center"/>
            </w:pPr>
            <w:r w:rsidRPr="00E47B30">
              <w:t>Item 23</w:t>
            </w:r>
          </w:p>
        </w:tc>
        <w:tc>
          <w:tcPr>
            <w:tcW w:w="1951" w:type="pct"/>
          </w:tcPr>
          <w:p w:rsidRPr="008935E3" w:rsidR="000459BE" w:rsidP="000459BE" w:rsidRDefault="000459BE" w14:paraId="4212CC52" w14:textId="19D07018">
            <w:pPr>
              <w:pStyle w:val="BodyText"/>
              <w:rPr>
                <w:sz w:val="21"/>
                <w:szCs w:val="21"/>
              </w:rPr>
            </w:pPr>
            <w:r w:rsidRPr="008935E3">
              <w:rPr>
                <w:sz w:val="21"/>
                <w:szCs w:val="21"/>
              </w:rPr>
              <w:t xml:space="preserve">If one annual report to security holders, proxy statement, or Notice of Internet Availability of Proxy Materials is being delivered to two or more security holders who share an address in accordance with Rule </w:t>
            </w:r>
            <w:proofErr w:type="spellStart"/>
            <w:r w:rsidRPr="008935E3">
              <w:rPr>
                <w:sz w:val="21"/>
                <w:szCs w:val="21"/>
              </w:rPr>
              <w:t>14a</w:t>
            </w:r>
            <w:proofErr w:type="spellEnd"/>
            <w:r w:rsidRPr="008935E3">
              <w:rPr>
                <w:sz w:val="21"/>
                <w:szCs w:val="21"/>
              </w:rPr>
              <w:t>-3(e)(1), furnish the following information</w:t>
            </w:r>
            <w:r>
              <w:rPr>
                <w:sz w:val="21"/>
                <w:szCs w:val="21"/>
              </w:rPr>
              <w:t xml:space="preserve">:  </w:t>
            </w:r>
          </w:p>
          <w:p w:rsidRPr="008935E3" w:rsidR="000459BE" w:rsidP="000459BE" w:rsidRDefault="000459BE" w14:paraId="2307DE79" w14:textId="4342B77B">
            <w:pPr>
              <w:pStyle w:val="BodyText"/>
              <w:rPr>
                <w:sz w:val="21"/>
                <w:szCs w:val="21"/>
              </w:rPr>
            </w:pPr>
            <w:r w:rsidRPr="008935E3">
              <w:rPr>
                <w:sz w:val="21"/>
                <w:szCs w:val="21"/>
              </w:rPr>
              <w:t xml:space="preserve">(a) State that only one annual report to security holders, proxy statement, or Notice of Internet Availability of Proxy Materials, as applicable, is being delivered to multiple security holders sharing an address unless the company has received contrary instructions from one or more of the security holders; </w:t>
            </w:r>
          </w:p>
          <w:p w:rsidRPr="008935E3" w:rsidR="000459BE" w:rsidP="000459BE" w:rsidRDefault="000459BE" w14:paraId="7F29B324" w14:textId="7185D55A">
            <w:pPr>
              <w:pStyle w:val="BodyText"/>
              <w:rPr>
                <w:sz w:val="21"/>
                <w:szCs w:val="21"/>
              </w:rPr>
            </w:pPr>
            <w:r w:rsidRPr="008935E3">
              <w:rPr>
                <w:sz w:val="21"/>
                <w:szCs w:val="21"/>
              </w:rPr>
              <w:t xml:space="preserve">(b) Undertake to deliver promptly upon written or oral request a separate copy of the annual report to security holders, proxy statement, or Notice of Internet Availability of Proxy Materials, as applicable, to a security holder at a shared address to which a single copy of the documents was delivered and provide instructions as to how a security holder can notify the company that the security holder wishes to receive a separate copy of an annual report to security holders, proxy statement, or Notice of Internet Availability of Proxy Materials, as applicable; </w:t>
            </w:r>
          </w:p>
          <w:p w:rsidRPr="008935E3" w:rsidR="000459BE" w:rsidP="000459BE" w:rsidRDefault="000459BE" w14:paraId="5B0D47DE" w14:textId="3656DE93">
            <w:pPr>
              <w:pStyle w:val="BodyText"/>
              <w:rPr>
                <w:sz w:val="21"/>
                <w:szCs w:val="21"/>
              </w:rPr>
            </w:pPr>
            <w:r w:rsidRPr="008935E3">
              <w:rPr>
                <w:sz w:val="21"/>
                <w:szCs w:val="21"/>
              </w:rPr>
              <w:t xml:space="preserve">(c) Provide the phone number and mailing address to which a security holder can direct a notification to the company that the security holder wishes to receive a separate annual report to security holders, proxy statement, or Notice of Internet Availability of Proxy Materials, as applicable, in the future; and </w:t>
            </w:r>
          </w:p>
          <w:p w:rsidRPr="008935E3" w:rsidR="000459BE" w:rsidP="000459BE" w:rsidRDefault="000459BE" w14:paraId="11BE8703" w14:textId="77777777">
            <w:pPr>
              <w:pStyle w:val="BodyText"/>
              <w:rPr>
                <w:sz w:val="21"/>
                <w:szCs w:val="21"/>
              </w:rPr>
            </w:pPr>
            <w:r w:rsidRPr="008935E3">
              <w:rPr>
                <w:sz w:val="21"/>
                <w:szCs w:val="21"/>
              </w:rPr>
              <w:t>(d) Provide instructions how security holders sharing an address can request delivery of a single copy of annual reports to security holders, proxy statements, or Notices of Internet Availability of Proxy Materials if they are receiving multiple copies of annual reports to security holders, proxy statements, or Notices of Internet Availability of Proxy Materials.</w:t>
            </w:r>
          </w:p>
          <w:p w:rsidRPr="008935E3" w:rsidR="000459BE" w:rsidP="000459BE" w:rsidRDefault="000459BE" w14:paraId="62A46E38" w14:textId="554E39A8">
            <w:pPr>
              <w:pStyle w:val="BodyText"/>
              <w:rPr>
                <w:sz w:val="21"/>
                <w:szCs w:val="21"/>
              </w:rPr>
            </w:pPr>
            <w:r w:rsidRPr="008935E3">
              <w:rPr>
                <w:i/>
                <w:iCs/>
                <w:sz w:val="21"/>
                <w:szCs w:val="21"/>
              </w:rPr>
              <w:t>Confirm that the proxy statement complies with these requirements.</w:t>
            </w:r>
          </w:p>
        </w:tc>
        <w:tc>
          <w:tcPr>
            <w:tcW w:w="931" w:type="pct"/>
          </w:tcPr>
          <w:p w:rsidRPr="00414307" w:rsidR="000459BE" w:rsidP="000459BE" w:rsidRDefault="000459BE" w14:paraId="59254231" w14:textId="77777777">
            <w:pPr>
              <w:pStyle w:val="BodyText"/>
            </w:pPr>
          </w:p>
        </w:tc>
        <w:tc>
          <w:tcPr>
            <w:tcW w:w="561" w:type="pct"/>
          </w:tcPr>
          <w:p w:rsidRPr="007E0B55" w:rsidR="000459BE" w:rsidP="000459BE" w:rsidRDefault="000459BE" w14:paraId="05694891" w14:textId="77777777">
            <w:pPr>
              <w:pStyle w:val="BodyText"/>
              <w:contextualSpacing/>
              <w:rPr>
                <w:sz w:val="20"/>
              </w:rPr>
            </w:pPr>
          </w:p>
        </w:tc>
        <w:tc>
          <w:tcPr>
            <w:tcW w:w="344" w:type="pct"/>
            <w:vAlign w:val="center"/>
          </w:tcPr>
          <w:p w:rsidRPr="00E47B30" w:rsidR="000459BE" w:rsidP="000459BE" w:rsidRDefault="000459BE" w14:paraId="20003F10"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33119255" w14:textId="447FF9D1">
            <w:pPr>
              <w:pStyle w:val="BodyText"/>
              <w:spacing w:after="0"/>
              <w:jc w:val="center"/>
            </w:pPr>
            <w:r w:rsidRPr="00E47B30">
              <w:rPr>
                <w:szCs w:val="22"/>
              </w:rPr>
              <w:t xml:space="preserve">No  </w:t>
            </w:r>
            <w:r w:rsidRPr="00E47B30">
              <w:rPr>
                <w:rFonts w:ascii="Segoe UI Symbol" w:hAnsi="Segoe UI Symbol" w:eastAsia="MS Gothic" w:cs="Segoe UI Symbol"/>
                <w:szCs w:val="22"/>
              </w:rPr>
              <w:t>☐</w:t>
            </w:r>
          </w:p>
        </w:tc>
      </w:tr>
      <w:tr w:rsidRPr="00E47B30" w:rsidR="000459BE" w:rsidTr="006F4CAE" w14:paraId="11AC73C3" w14:textId="77777777">
        <w:trPr>
          <w:cantSplit/>
          <w:jc w:val="center"/>
        </w:trPr>
        <w:tc>
          <w:tcPr>
            <w:tcW w:w="5000" w:type="pct"/>
            <w:gridSpan w:val="6"/>
            <w:shd w:val="clear" w:color="auto" w:fill="D9D9D9" w:themeFill="background1" w:themeFillShade="D9"/>
          </w:tcPr>
          <w:p w:rsidRPr="006F4CAE" w:rsidR="000459BE" w:rsidP="000459BE" w:rsidRDefault="000459BE" w14:paraId="1B972D2A" w14:textId="6D2A6127">
            <w:pPr>
              <w:spacing w:after="0"/>
              <w:rPr>
                <w:b/>
                <w:bCs/>
                <w:szCs w:val="22"/>
              </w:rPr>
            </w:pPr>
            <w:r>
              <w:rPr>
                <w:b/>
                <w:bCs/>
                <w:szCs w:val="22"/>
              </w:rPr>
              <w:t>Item 24.  Shareholder Approval of Executive Compensation</w:t>
            </w:r>
          </w:p>
        </w:tc>
      </w:tr>
      <w:tr w:rsidRPr="00E47B30" w:rsidR="000459BE" w:rsidTr="00E708F1" w14:paraId="32BDDDBA" w14:textId="77777777">
        <w:trPr>
          <w:cantSplit/>
          <w:jc w:val="center"/>
        </w:trPr>
        <w:tc>
          <w:tcPr>
            <w:tcW w:w="690" w:type="pct"/>
            <w:shd w:val="clear" w:color="auto" w:fill="FFFFFF"/>
          </w:tcPr>
          <w:p w:rsidR="000459BE" w:rsidP="000459BE" w:rsidRDefault="000459BE" w14:paraId="2E6295E7" w14:textId="171D9563">
            <w:pPr>
              <w:pStyle w:val="BodyText"/>
              <w:spacing w:after="120"/>
            </w:pPr>
            <w:r w:rsidRPr="00E47B30">
              <w:lastRenderedPageBreak/>
              <w:t>Item 24. Shareholder Approval of Executive Compensation</w:t>
            </w:r>
          </w:p>
          <w:p w:rsidRPr="00E47B30" w:rsidR="000459BE" w:rsidP="000459BE" w:rsidRDefault="000459BE" w14:paraId="3C902412" w14:textId="1737DC46">
            <w:pPr>
              <w:pStyle w:val="BodyText"/>
              <w:spacing w:after="120"/>
            </w:pPr>
            <w:r>
              <w:t>(Say-on-Pay and Say-on-Frequency)</w:t>
            </w:r>
          </w:p>
        </w:tc>
        <w:tc>
          <w:tcPr>
            <w:tcW w:w="523" w:type="pct"/>
            <w:shd w:val="clear" w:color="auto" w:fill="FFFFFF"/>
          </w:tcPr>
          <w:p w:rsidRPr="00E47B30" w:rsidR="000459BE" w:rsidP="000459BE" w:rsidRDefault="000D00E3" w14:paraId="136EADB9" w14:textId="54E908F9">
            <w:pPr>
              <w:pStyle w:val="BodyText"/>
              <w:spacing w:after="120"/>
              <w:jc w:val="center"/>
            </w:pPr>
            <w:hyperlink w:history="1" w:anchor="p-240.14a-21(a)" r:id="rId130">
              <w:r w:rsidRPr="00E47B30" w:rsidR="000459BE">
                <w:rPr>
                  <w:rStyle w:val="Hyperlink"/>
                </w:rPr>
                <w:t xml:space="preserve">Rule </w:t>
              </w:r>
              <w:proofErr w:type="spellStart"/>
              <w:r w:rsidRPr="00E47B30" w:rsidR="000459BE">
                <w:rPr>
                  <w:rStyle w:val="Hyperlink"/>
                </w:rPr>
                <w:t>14a</w:t>
              </w:r>
              <w:proofErr w:type="spellEnd"/>
              <w:r w:rsidRPr="00E47B30" w:rsidR="000459BE">
                <w:rPr>
                  <w:rStyle w:val="Hyperlink"/>
                </w:rPr>
                <w:t>-21</w:t>
              </w:r>
            </w:hyperlink>
          </w:p>
        </w:tc>
        <w:tc>
          <w:tcPr>
            <w:tcW w:w="1951" w:type="pct"/>
            <w:shd w:val="clear" w:color="auto" w:fill="FFFFFF"/>
          </w:tcPr>
          <w:p w:rsidRPr="00E47B30" w:rsidR="000459BE" w:rsidP="000459BE" w:rsidRDefault="000459BE" w14:paraId="03AB25AF" w14:textId="1E0FCD96">
            <w:pPr>
              <w:pStyle w:val="BodyText"/>
              <w:rPr>
                <w:szCs w:val="22"/>
              </w:rPr>
            </w:pPr>
            <w:r w:rsidRPr="00E47B30">
              <w:rPr>
                <w:szCs w:val="22"/>
              </w:rPr>
              <w:t xml:space="preserve">Companies may wish to revise </w:t>
            </w:r>
            <w:proofErr w:type="spellStart"/>
            <w:r w:rsidRPr="00E47B30">
              <w:rPr>
                <w:szCs w:val="22"/>
              </w:rPr>
              <w:t>CD&amp;A</w:t>
            </w:r>
            <w:proofErr w:type="spellEnd"/>
            <w:r w:rsidRPr="00E47B30">
              <w:rPr>
                <w:szCs w:val="22"/>
              </w:rPr>
              <w:t xml:space="preserve"> and other compensation disclosures to provide clear and effective explanations of compensation policies and decisions (possibly including an executive summary).</w:t>
            </w:r>
            <w:r>
              <w:rPr>
                <w:szCs w:val="22"/>
              </w:rPr>
              <w:t xml:space="preserve"> Note that Item 402(b)(1)(vii) separately requires a company to state w</w:t>
            </w:r>
            <w:r w:rsidRPr="001C57EA">
              <w:rPr>
                <w:szCs w:val="22"/>
              </w:rPr>
              <w:t xml:space="preserve">hether and, if so, how </w:t>
            </w:r>
            <w:r>
              <w:rPr>
                <w:szCs w:val="22"/>
              </w:rPr>
              <w:t>it</w:t>
            </w:r>
            <w:r w:rsidRPr="001C57EA">
              <w:rPr>
                <w:szCs w:val="22"/>
              </w:rPr>
              <w:t xml:space="preserve"> </w:t>
            </w:r>
            <w:r>
              <w:rPr>
                <w:szCs w:val="22"/>
              </w:rPr>
              <w:t xml:space="preserve">has </w:t>
            </w:r>
            <w:r w:rsidRPr="001C57EA">
              <w:rPr>
                <w:szCs w:val="22"/>
              </w:rPr>
              <w:t>considered the results of the most recent</w:t>
            </w:r>
            <w:r>
              <w:rPr>
                <w:szCs w:val="22"/>
              </w:rPr>
              <w:t xml:space="preserve"> say-on-pay vote</w:t>
            </w:r>
            <w:r w:rsidRPr="001C57EA">
              <w:rPr>
                <w:szCs w:val="22"/>
              </w:rPr>
              <w:t xml:space="preserve"> in determining compensation policies and decisions and, if so, how that consideration has affected the </w:t>
            </w:r>
            <w:r>
              <w:rPr>
                <w:szCs w:val="22"/>
              </w:rPr>
              <w:t>company’</w:t>
            </w:r>
            <w:r w:rsidRPr="001C57EA">
              <w:rPr>
                <w:szCs w:val="22"/>
              </w:rPr>
              <w:t>s executive compensation decisions and policies.</w:t>
            </w:r>
          </w:p>
        </w:tc>
        <w:tc>
          <w:tcPr>
            <w:tcW w:w="931" w:type="pct"/>
            <w:shd w:val="clear" w:color="auto" w:fill="FFFFFF"/>
          </w:tcPr>
          <w:p w:rsidRPr="00414307" w:rsidR="000459BE" w:rsidP="000459BE" w:rsidRDefault="000459BE" w14:paraId="57D150AD" w14:textId="77777777">
            <w:pPr>
              <w:pStyle w:val="BodyText"/>
              <w:rPr>
                <w:szCs w:val="22"/>
              </w:rPr>
            </w:pPr>
          </w:p>
        </w:tc>
        <w:tc>
          <w:tcPr>
            <w:tcW w:w="561" w:type="pct"/>
            <w:shd w:val="clear" w:color="auto" w:fill="FFFFFF"/>
          </w:tcPr>
          <w:p w:rsidRPr="007E0B55" w:rsidR="000459BE" w:rsidP="000459BE" w:rsidRDefault="000459BE" w14:paraId="1410D17B" w14:textId="77777777">
            <w:pPr>
              <w:pStyle w:val="BodyText"/>
              <w:contextualSpacing/>
              <w:rPr>
                <w:sz w:val="20"/>
              </w:rPr>
            </w:pPr>
          </w:p>
        </w:tc>
        <w:tc>
          <w:tcPr>
            <w:tcW w:w="344" w:type="pct"/>
            <w:shd w:val="clear" w:color="auto" w:fill="FFFFFF"/>
            <w:vAlign w:val="center"/>
          </w:tcPr>
          <w:p w:rsidRPr="00E47B30" w:rsidR="000459BE" w:rsidP="000459BE" w:rsidRDefault="000459BE" w14:paraId="7C9F98D2"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6441288F" w14:textId="11B69E96">
            <w:pPr>
              <w:pStyle w:val="BodyText"/>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E708F1" w14:paraId="2F2C55BC" w14:textId="77777777">
        <w:trPr>
          <w:cantSplit/>
          <w:jc w:val="center"/>
        </w:trPr>
        <w:tc>
          <w:tcPr>
            <w:tcW w:w="690" w:type="pct"/>
            <w:shd w:val="clear" w:color="auto" w:fill="FFFFFF"/>
          </w:tcPr>
          <w:p w:rsidRPr="00E47B30" w:rsidR="000459BE" w:rsidP="000459BE" w:rsidRDefault="000459BE" w14:paraId="38EFF200" w14:textId="4FD88E23">
            <w:pPr>
              <w:pStyle w:val="BodyText"/>
              <w:spacing w:after="120"/>
            </w:pPr>
          </w:p>
        </w:tc>
        <w:tc>
          <w:tcPr>
            <w:tcW w:w="523" w:type="pct"/>
            <w:shd w:val="clear" w:color="auto" w:fill="FFFFFF"/>
          </w:tcPr>
          <w:p w:rsidRPr="00E47B30" w:rsidR="000459BE" w:rsidP="000459BE" w:rsidRDefault="000459BE" w14:paraId="3F286043" w14:textId="51386001">
            <w:pPr>
              <w:pStyle w:val="BodyText"/>
              <w:spacing w:after="120"/>
              <w:jc w:val="center"/>
            </w:pPr>
            <w:r w:rsidRPr="00E47B30">
              <w:t xml:space="preserve">Exchange Act </w:t>
            </w:r>
            <w:hyperlink w:history="1" w:anchor="p-240.14a-21(a)" r:id="rId131">
              <w:r w:rsidRPr="00E47B30">
                <w:rPr>
                  <w:rStyle w:val="Hyperlink"/>
                </w:rPr>
                <w:t xml:space="preserve">Rule </w:t>
              </w:r>
              <w:proofErr w:type="spellStart"/>
              <w:r w:rsidRPr="00E47B30">
                <w:rPr>
                  <w:rStyle w:val="Hyperlink"/>
                </w:rPr>
                <w:t>14a</w:t>
              </w:r>
              <w:proofErr w:type="spellEnd"/>
              <w:r w:rsidRPr="00E47B30">
                <w:rPr>
                  <w:rStyle w:val="Hyperlink"/>
                </w:rPr>
                <w:t>-21</w:t>
              </w:r>
            </w:hyperlink>
          </w:p>
        </w:tc>
        <w:tc>
          <w:tcPr>
            <w:tcW w:w="1951" w:type="pct"/>
            <w:shd w:val="clear" w:color="auto" w:fill="FFFFFF"/>
          </w:tcPr>
          <w:p w:rsidRPr="00E47B30" w:rsidR="000459BE" w:rsidP="000459BE" w:rsidRDefault="000459BE" w14:paraId="5B46479C" w14:textId="4678EA2E">
            <w:pPr>
              <w:pStyle w:val="BodyText"/>
              <w:rPr>
                <w:szCs w:val="22"/>
              </w:rPr>
            </w:pPr>
            <w:r w:rsidRPr="00E47B30">
              <w:rPr>
                <w:szCs w:val="22"/>
              </w:rPr>
              <w:t>Sa</w:t>
            </w:r>
            <w:r>
              <w:rPr>
                <w:szCs w:val="22"/>
              </w:rPr>
              <w:t>y-on-p</w:t>
            </w:r>
            <w:r w:rsidRPr="00E47B30">
              <w:rPr>
                <w:szCs w:val="22"/>
              </w:rPr>
              <w:t xml:space="preserve">ay votes must be held at least every three years, and </w:t>
            </w:r>
            <w:r>
              <w:rPr>
                <w:szCs w:val="22"/>
              </w:rPr>
              <w:t xml:space="preserve">say-on-frequency </w:t>
            </w:r>
            <w:r w:rsidRPr="00E47B30">
              <w:rPr>
                <w:szCs w:val="22"/>
              </w:rPr>
              <w:t>votes must be submitted to stockholders at least every six years.</w:t>
            </w:r>
            <w:r>
              <w:rPr>
                <w:szCs w:val="22"/>
              </w:rPr>
              <w:t xml:space="preserve"> </w:t>
            </w:r>
            <w:r w:rsidRPr="00E47B30">
              <w:rPr>
                <w:szCs w:val="22"/>
              </w:rPr>
              <w:t>Item 24 requires:</w:t>
            </w:r>
          </w:p>
          <w:p w:rsidRPr="00E47B30" w:rsidR="000459BE" w:rsidP="000459BE" w:rsidRDefault="000459BE" w14:paraId="32360FB4" w14:textId="77777777">
            <w:pPr>
              <w:pStyle w:val="ListBullet"/>
            </w:pPr>
            <w:r w:rsidRPr="00E47B30">
              <w:t>disclosure that each of the two separate votes are provided as required pursuant to Section 14A of the Exchange Act;</w:t>
            </w:r>
          </w:p>
          <w:p w:rsidRPr="00E47B30" w:rsidR="000459BE" w:rsidP="000459BE" w:rsidRDefault="000459BE" w14:paraId="5F0532AC" w14:textId="77777777">
            <w:pPr>
              <w:pStyle w:val="ListBullet"/>
            </w:pPr>
            <w:r w:rsidRPr="00E47B30">
              <w:t>a brief explanation of the general effect of each vote (such as whether each such vote is non-binding); and</w:t>
            </w:r>
          </w:p>
          <w:p w:rsidRPr="00E47B30" w:rsidR="000459BE" w:rsidP="000459BE" w:rsidRDefault="000459BE" w14:paraId="6575D8DC" w14:textId="77777777">
            <w:pPr>
              <w:pStyle w:val="ListBullet"/>
            </w:pPr>
            <w:r w:rsidRPr="00E47B30">
              <w:t xml:space="preserve">if applicable, disclosure of the current frequency of shareholder advisory votes on executive compensation required by Rule </w:t>
            </w:r>
            <w:proofErr w:type="spellStart"/>
            <w:r w:rsidRPr="00E47B30">
              <w:t>14a</w:t>
            </w:r>
            <w:proofErr w:type="spellEnd"/>
            <w:r w:rsidRPr="00E47B30">
              <w:noBreakHyphen/>
              <w:t>21(a) and when the next such advisory vote will occur.</w:t>
            </w:r>
          </w:p>
          <w:p w:rsidR="000459BE" w:rsidP="000459BE" w:rsidRDefault="000459BE" w14:paraId="26C2F0FF" w14:textId="08E01DFD">
            <w:pPr>
              <w:pStyle w:val="BodyText"/>
            </w:pPr>
            <w:r w:rsidRPr="00E47B30">
              <w:rPr>
                <w:szCs w:val="22"/>
              </w:rPr>
              <w:t xml:space="preserve">Additional rules, not included in this document, relate to </w:t>
            </w:r>
            <w:r>
              <w:rPr>
                <w:szCs w:val="22"/>
              </w:rPr>
              <w:t>say-on-golden-parachute-pay</w:t>
            </w:r>
            <w:r w:rsidRPr="00E47B30">
              <w:rPr>
                <w:szCs w:val="22"/>
              </w:rPr>
              <w:t xml:space="preserve"> disclosure required in connection with stockholder votes relating to an acquisition, merger, consolidation or proposed sale or disposition of all or substantially all </w:t>
            </w:r>
            <w:r>
              <w:rPr>
                <w:szCs w:val="22"/>
              </w:rPr>
              <w:t xml:space="preserve">of the </w:t>
            </w:r>
            <w:r w:rsidRPr="00E47B30">
              <w:rPr>
                <w:szCs w:val="22"/>
              </w:rPr>
              <w:t>assets of a company</w:t>
            </w:r>
            <w:r>
              <w:rPr>
                <w:szCs w:val="22"/>
              </w:rPr>
              <w:t>.</w:t>
            </w:r>
          </w:p>
          <w:p w:rsidRPr="00E47B30" w:rsidR="000459BE" w:rsidP="000459BE" w:rsidRDefault="000459BE" w14:paraId="750D4ABB" w14:textId="1FA43AC9">
            <w:pPr>
              <w:pStyle w:val="BodyText"/>
              <w:rPr>
                <w:szCs w:val="22"/>
              </w:rPr>
            </w:pPr>
            <w:r>
              <w:rPr>
                <w:i/>
                <w:iCs/>
              </w:rPr>
              <w:t>Confirm that the proxy statement complies with these requirements.</w:t>
            </w:r>
          </w:p>
        </w:tc>
        <w:tc>
          <w:tcPr>
            <w:tcW w:w="931" w:type="pct"/>
            <w:shd w:val="clear" w:color="auto" w:fill="FFFFFF"/>
          </w:tcPr>
          <w:p w:rsidRPr="00414307" w:rsidR="000459BE" w:rsidP="000459BE" w:rsidRDefault="000459BE" w14:paraId="19F8EDD5" w14:textId="77777777">
            <w:pPr>
              <w:pStyle w:val="BodyText"/>
              <w:rPr>
                <w:szCs w:val="22"/>
              </w:rPr>
            </w:pPr>
          </w:p>
        </w:tc>
        <w:tc>
          <w:tcPr>
            <w:tcW w:w="561" w:type="pct"/>
            <w:shd w:val="clear" w:color="auto" w:fill="FFFFFF"/>
          </w:tcPr>
          <w:p w:rsidRPr="007E0B55" w:rsidR="000459BE" w:rsidP="000459BE" w:rsidRDefault="000459BE" w14:paraId="7DC8CEA1" w14:textId="77777777">
            <w:pPr>
              <w:pStyle w:val="BodyText"/>
              <w:contextualSpacing/>
              <w:rPr>
                <w:sz w:val="20"/>
              </w:rPr>
            </w:pPr>
          </w:p>
        </w:tc>
        <w:tc>
          <w:tcPr>
            <w:tcW w:w="344" w:type="pct"/>
            <w:shd w:val="clear" w:color="auto" w:fill="FFFFFF"/>
            <w:vAlign w:val="center"/>
          </w:tcPr>
          <w:p w:rsidRPr="00E47B30" w:rsidR="000459BE" w:rsidP="000459BE" w:rsidRDefault="000459BE" w14:paraId="25EEA25B"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1BABF6EB" w14:textId="4ED749EF">
            <w:pPr>
              <w:pStyle w:val="BodyText"/>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F139E6" w14:paraId="55EA9496" w14:textId="77777777">
        <w:trPr>
          <w:cantSplit/>
          <w:jc w:val="center"/>
        </w:trPr>
        <w:tc>
          <w:tcPr>
            <w:tcW w:w="5000" w:type="pct"/>
            <w:gridSpan w:val="6"/>
            <w:shd w:val="clear" w:color="auto" w:fill="D9D9D9" w:themeFill="background1" w:themeFillShade="D9"/>
            <w:vAlign w:val="bottom"/>
          </w:tcPr>
          <w:p w:rsidRPr="00E60AAF" w:rsidR="000459BE" w:rsidP="000459BE" w:rsidRDefault="000459BE" w14:paraId="4100C74C" w14:textId="53784E43">
            <w:pPr>
              <w:spacing w:after="240"/>
              <w:rPr>
                <w:b/>
                <w:bCs/>
                <w:szCs w:val="22"/>
              </w:rPr>
            </w:pPr>
            <w:r>
              <w:rPr>
                <w:b/>
                <w:bCs/>
                <w:szCs w:val="22"/>
              </w:rPr>
              <w:t>Proxy Card (Form of Proxy)</w:t>
            </w:r>
          </w:p>
        </w:tc>
      </w:tr>
      <w:tr w:rsidRPr="00E47B30" w:rsidR="000459BE" w:rsidTr="00264FC4" w14:paraId="490A789F" w14:textId="77777777">
        <w:trPr>
          <w:cantSplit/>
          <w:jc w:val="center"/>
        </w:trPr>
        <w:tc>
          <w:tcPr>
            <w:tcW w:w="5000" w:type="pct"/>
            <w:gridSpan w:val="6"/>
            <w:shd w:val="clear" w:color="auto" w:fill="FFFFFF"/>
          </w:tcPr>
          <w:p w:rsidRPr="00AD4298" w:rsidR="000459BE" w:rsidP="000459BE" w:rsidRDefault="000459BE" w14:paraId="57CB8DC7" w14:textId="0E76E012">
            <w:pPr>
              <w:spacing w:after="240"/>
              <w:rPr>
                <w:b/>
                <w:bCs/>
              </w:rPr>
            </w:pPr>
            <w:r w:rsidRPr="00AD4298">
              <w:rPr>
                <w:b/>
                <w:bCs/>
              </w:rPr>
              <w:t xml:space="preserve">Requirements for proxy card (form of proxy) – Rule </w:t>
            </w:r>
            <w:proofErr w:type="spellStart"/>
            <w:r w:rsidRPr="00AD4298">
              <w:rPr>
                <w:b/>
                <w:bCs/>
              </w:rPr>
              <w:t>14a</w:t>
            </w:r>
            <w:proofErr w:type="spellEnd"/>
            <w:r w:rsidRPr="00AD4298">
              <w:rPr>
                <w:b/>
                <w:bCs/>
              </w:rPr>
              <w:t>-</w:t>
            </w:r>
            <w:r>
              <w:rPr>
                <w:b/>
                <w:bCs/>
              </w:rPr>
              <w:t>4</w:t>
            </w:r>
          </w:p>
          <w:p w:rsidRPr="00F97EEB" w:rsidR="000459BE" w:rsidP="000459BE" w:rsidRDefault="000459BE" w14:paraId="658561EC" w14:textId="3E22344D">
            <w:pPr>
              <w:spacing w:after="240"/>
            </w:pPr>
            <w:r>
              <w:t>The following summary d</w:t>
            </w:r>
            <w:r w:rsidRPr="003673A1">
              <w:t xml:space="preserve">oes not include requirements for </w:t>
            </w:r>
            <w:r>
              <w:t xml:space="preserve">proxy cards used in connection with approval of mergers, consolidations or business combinations, </w:t>
            </w:r>
            <w:r w:rsidRPr="003673A1">
              <w:t>special meetings</w:t>
            </w:r>
            <w:r>
              <w:t xml:space="preserve"> or </w:t>
            </w:r>
            <w:r w:rsidRPr="003673A1">
              <w:t xml:space="preserve">consent solicitations or </w:t>
            </w:r>
            <w:r>
              <w:t xml:space="preserve">requirements that apply </w:t>
            </w:r>
            <w:r w:rsidRPr="003673A1">
              <w:t xml:space="preserve">to </w:t>
            </w:r>
            <w:r>
              <w:t xml:space="preserve">registered </w:t>
            </w:r>
            <w:r w:rsidRPr="003673A1">
              <w:t>investment companies</w:t>
            </w:r>
            <w:r>
              <w:t>.</w:t>
            </w:r>
          </w:p>
        </w:tc>
      </w:tr>
      <w:tr w:rsidRPr="00E47B30" w:rsidR="000459BE" w:rsidTr="00BB2A74" w14:paraId="47C04509" w14:textId="77777777">
        <w:trPr>
          <w:cantSplit/>
          <w:jc w:val="center"/>
        </w:trPr>
        <w:tc>
          <w:tcPr>
            <w:tcW w:w="1213" w:type="pct"/>
            <w:gridSpan w:val="2"/>
            <w:shd w:val="clear" w:color="auto" w:fill="FFFFFF"/>
          </w:tcPr>
          <w:p w:rsidR="000459BE" w:rsidP="000459BE" w:rsidRDefault="000459BE" w14:paraId="181A9431" w14:textId="77777777">
            <w:pPr>
              <w:pStyle w:val="BodyText"/>
              <w:jc w:val="center"/>
            </w:pPr>
          </w:p>
        </w:tc>
        <w:tc>
          <w:tcPr>
            <w:tcW w:w="1951" w:type="pct"/>
            <w:shd w:val="clear" w:color="auto" w:fill="FFFFFF"/>
          </w:tcPr>
          <w:p w:rsidRPr="00774D17" w:rsidR="000459BE" w:rsidP="000459BE" w:rsidRDefault="000459BE" w14:paraId="4EB3C90F" w14:textId="33746BCD">
            <w:pPr>
              <w:pStyle w:val="BodyText"/>
              <w:rPr>
                <w:b/>
                <w:bCs/>
                <w:i/>
                <w:iCs/>
              </w:rPr>
            </w:pPr>
            <w:r w:rsidRPr="00774D17">
              <w:rPr>
                <w:b/>
                <w:bCs/>
                <w:i/>
                <w:iCs/>
              </w:rPr>
              <w:t>Confirm that the form of proxy card to be filed with the proxy statement satisfies each of the requirements below, if applicable.</w:t>
            </w:r>
          </w:p>
        </w:tc>
        <w:tc>
          <w:tcPr>
            <w:tcW w:w="1836" w:type="pct"/>
            <w:gridSpan w:val="3"/>
            <w:shd w:val="clear" w:color="auto" w:fill="FFFFFF"/>
          </w:tcPr>
          <w:p w:rsidRPr="00E47B30" w:rsidR="000459BE" w:rsidP="000459BE" w:rsidRDefault="000459BE" w14:paraId="7366BF28" w14:textId="77777777">
            <w:pPr>
              <w:spacing w:after="240"/>
              <w:jc w:val="center"/>
              <w:rPr>
                <w:szCs w:val="22"/>
              </w:rPr>
            </w:pPr>
          </w:p>
        </w:tc>
      </w:tr>
      <w:tr w:rsidRPr="00E47B30" w:rsidR="000459BE" w:rsidTr="00264FC4" w14:paraId="55BA6A89" w14:textId="77777777">
        <w:trPr>
          <w:cantSplit/>
          <w:jc w:val="center"/>
        </w:trPr>
        <w:tc>
          <w:tcPr>
            <w:tcW w:w="690" w:type="pct"/>
            <w:shd w:val="clear" w:color="auto" w:fill="FFFFFF"/>
          </w:tcPr>
          <w:p w:rsidRPr="00E47B30" w:rsidR="000459BE" w:rsidP="000459BE" w:rsidRDefault="000459BE" w14:paraId="107D72FD" w14:textId="413D3DC6">
            <w:pPr>
              <w:pStyle w:val="BodyText"/>
            </w:pPr>
          </w:p>
        </w:tc>
        <w:tc>
          <w:tcPr>
            <w:tcW w:w="523" w:type="pct"/>
            <w:shd w:val="clear" w:color="auto" w:fill="FFFFFF"/>
          </w:tcPr>
          <w:p w:rsidRPr="00E47B30" w:rsidR="000459BE" w:rsidP="000459BE" w:rsidRDefault="000D00E3" w14:paraId="37B10567" w14:textId="5724E997">
            <w:pPr>
              <w:pStyle w:val="BodyText"/>
              <w:jc w:val="center"/>
            </w:pPr>
            <w:hyperlink w:history="1" r:id="rId132">
              <w:r w:rsidRPr="00B561EC" w:rsidR="000459BE">
                <w:rPr>
                  <w:rStyle w:val="Hyperlink"/>
                </w:rPr>
                <w:t xml:space="preserve">Rule </w:t>
              </w:r>
              <w:proofErr w:type="spellStart"/>
              <w:r w:rsidRPr="00B561EC" w:rsidR="000459BE">
                <w:rPr>
                  <w:rStyle w:val="Hyperlink"/>
                </w:rPr>
                <w:t>14a</w:t>
              </w:r>
              <w:proofErr w:type="spellEnd"/>
              <w:r w:rsidRPr="00B561EC" w:rsidR="000459BE">
                <w:rPr>
                  <w:rStyle w:val="Hyperlink"/>
                </w:rPr>
                <w:t>-4</w:t>
              </w:r>
            </w:hyperlink>
          </w:p>
        </w:tc>
        <w:tc>
          <w:tcPr>
            <w:tcW w:w="1951" w:type="pct"/>
            <w:shd w:val="clear" w:color="auto" w:fill="FFFFFF"/>
          </w:tcPr>
          <w:p w:rsidR="000459BE" w:rsidP="000459BE" w:rsidRDefault="000459BE" w14:paraId="335615F6" w14:textId="422F2454">
            <w:pPr>
              <w:pStyle w:val="BodyText"/>
            </w:pPr>
            <w:r>
              <w:t>For the election of directors, if plurality voting applies, the voting options should be for and withhold. The proxy card may also provide that a shareholder may vote “for all”, “withhold all”, or “for all except.”</w:t>
            </w:r>
          </w:p>
          <w:p w:rsidR="000459BE" w:rsidP="000459BE" w:rsidRDefault="000459BE" w14:paraId="37C77A0B" w14:textId="18F3526A">
            <w:pPr>
              <w:pStyle w:val="BodyText"/>
            </w:pPr>
            <w:r>
              <w:t>For the election of directors, if majority voting applies, the voting options should be for, against, and abstain. The proxy card may also include that a shareholder may vote “for all”, “against all”, or “for all except.”</w:t>
            </w:r>
          </w:p>
          <w:p w:rsidR="000459BE" w:rsidP="000459BE" w:rsidRDefault="000459BE" w14:paraId="3F2420C1" w14:textId="53CE5D9E">
            <w:pPr>
              <w:pStyle w:val="BodyText"/>
            </w:pPr>
            <w:r>
              <w:t>For auditor ratification and say-on-pay, the voting options should be for, against, and abstain.</w:t>
            </w:r>
          </w:p>
          <w:p w:rsidRPr="00E47B30" w:rsidR="000459BE" w:rsidP="000459BE" w:rsidRDefault="000459BE" w14:paraId="1D290611" w14:textId="1587A34E">
            <w:pPr>
              <w:pStyle w:val="BodyText"/>
              <w:rPr>
                <w:szCs w:val="22"/>
              </w:rPr>
            </w:pPr>
            <w:r>
              <w:t xml:space="preserve">For say-on-frequency the voting options should be </w:t>
            </w:r>
            <w:r w:rsidRPr="00B561EC">
              <w:t>one</w:t>
            </w:r>
            <w:r>
              <w:t xml:space="preserve"> year</w:t>
            </w:r>
            <w:r w:rsidRPr="00B561EC">
              <w:t>, two</w:t>
            </w:r>
            <w:r>
              <w:t xml:space="preserve"> years,</w:t>
            </w:r>
            <w:r w:rsidRPr="00B561EC">
              <w:t xml:space="preserve"> three years</w:t>
            </w:r>
            <w:r>
              <w:t>,</w:t>
            </w:r>
            <w:r w:rsidRPr="00B561EC">
              <w:t xml:space="preserve"> and abstain</w:t>
            </w:r>
            <w:r>
              <w:t>.</w:t>
            </w:r>
          </w:p>
        </w:tc>
        <w:tc>
          <w:tcPr>
            <w:tcW w:w="931" w:type="pct"/>
            <w:shd w:val="clear" w:color="auto" w:fill="FFFFFF"/>
          </w:tcPr>
          <w:p w:rsidRPr="00414307" w:rsidR="000459BE" w:rsidP="000459BE" w:rsidRDefault="000459BE" w14:paraId="49DA7A77" w14:textId="77777777">
            <w:pPr>
              <w:pStyle w:val="BodyText"/>
              <w:rPr>
                <w:szCs w:val="22"/>
              </w:rPr>
            </w:pPr>
          </w:p>
        </w:tc>
        <w:tc>
          <w:tcPr>
            <w:tcW w:w="561" w:type="pct"/>
            <w:shd w:val="clear" w:color="auto" w:fill="FFFFFF"/>
          </w:tcPr>
          <w:p w:rsidRPr="007E0B55" w:rsidR="000459BE" w:rsidP="000459BE" w:rsidRDefault="000459BE" w14:paraId="5D98FB39" w14:textId="77777777">
            <w:pPr>
              <w:pStyle w:val="BodyText"/>
              <w:rPr>
                <w:sz w:val="20"/>
              </w:rPr>
            </w:pPr>
          </w:p>
        </w:tc>
        <w:tc>
          <w:tcPr>
            <w:tcW w:w="344" w:type="pct"/>
            <w:shd w:val="clear" w:color="auto" w:fill="FFFFFF"/>
            <w:vAlign w:val="center"/>
          </w:tcPr>
          <w:p w:rsidRPr="00E47B30" w:rsidR="000459BE" w:rsidP="000459BE" w:rsidRDefault="000459BE" w14:paraId="126722A3"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50EAAB4C" w14:textId="19A88D47">
            <w:pPr>
              <w:spacing w:after="24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264FC4" w14:paraId="0C344F41" w14:textId="77777777">
        <w:trPr>
          <w:cantSplit/>
          <w:jc w:val="center"/>
        </w:trPr>
        <w:tc>
          <w:tcPr>
            <w:tcW w:w="690" w:type="pct"/>
            <w:shd w:val="clear" w:color="auto" w:fill="FFFFFF"/>
          </w:tcPr>
          <w:p w:rsidRPr="00E47B30" w:rsidR="000459BE" w:rsidP="000459BE" w:rsidRDefault="000459BE" w14:paraId="5BF7E7CF" w14:textId="77777777">
            <w:pPr>
              <w:pStyle w:val="BodyText"/>
            </w:pPr>
          </w:p>
        </w:tc>
        <w:tc>
          <w:tcPr>
            <w:tcW w:w="523" w:type="pct"/>
            <w:shd w:val="clear" w:color="auto" w:fill="FFFFFF"/>
          </w:tcPr>
          <w:p w:rsidRPr="00B561EC" w:rsidR="000459BE" w:rsidP="000459BE" w:rsidRDefault="000D00E3" w14:paraId="5084D20E" w14:textId="4A8CA95D">
            <w:pPr>
              <w:pStyle w:val="BodyText"/>
              <w:jc w:val="center"/>
            </w:pPr>
            <w:hyperlink w:history="1" w:anchor="p-240.14a-4(a)(3)" r:id="rId133">
              <w:r w:rsidRPr="009938B8" w:rsidR="000459BE">
                <w:rPr>
                  <w:rStyle w:val="Hyperlink"/>
                </w:rPr>
                <w:t xml:space="preserve">Rule </w:t>
              </w:r>
              <w:proofErr w:type="spellStart"/>
              <w:r w:rsidRPr="009938B8" w:rsidR="000459BE">
                <w:rPr>
                  <w:rStyle w:val="Hyperlink"/>
                </w:rPr>
                <w:t>14a</w:t>
              </w:r>
              <w:proofErr w:type="spellEnd"/>
              <w:r w:rsidRPr="009938B8" w:rsidR="000459BE">
                <w:rPr>
                  <w:rStyle w:val="Hyperlink"/>
                </w:rPr>
                <w:t>-4(a)(3)</w:t>
              </w:r>
            </w:hyperlink>
          </w:p>
        </w:tc>
        <w:tc>
          <w:tcPr>
            <w:tcW w:w="1951" w:type="pct"/>
            <w:shd w:val="clear" w:color="auto" w:fill="FFFFFF"/>
          </w:tcPr>
          <w:p w:rsidRPr="00D47A83" w:rsidR="000459BE" w:rsidP="000459BE" w:rsidRDefault="000459BE" w14:paraId="425E02D5" w14:textId="2975B7D9">
            <w:pPr>
              <w:spacing w:after="240"/>
              <w:rPr>
                <w:b/>
                <w:bCs/>
              </w:rPr>
            </w:pPr>
            <w:r>
              <w:rPr>
                <w:b/>
                <w:bCs/>
              </w:rPr>
              <w:t xml:space="preserve">Rule </w:t>
            </w:r>
            <w:proofErr w:type="spellStart"/>
            <w:r>
              <w:rPr>
                <w:b/>
                <w:bCs/>
              </w:rPr>
              <w:t>14a</w:t>
            </w:r>
            <w:proofErr w:type="spellEnd"/>
            <w:r>
              <w:rPr>
                <w:b/>
                <w:bCs/>
              </w:rPr>
              <w:t xml:space="preserve">-4(a)(3): </w:t>
            </w:r>
            <w:r w:rsidRPr="00D47A83">
              <w:rPr>
                <w:b/>
                <w:bCs/>
              </w:rPr>
              <w:t xml:space="preserve">Clear and Impartial Identification of Each Separate </w:t>
            </w:r>
            <w:r>
              <w:rPr>
                <w:b/>
                <w:bCs/>
              </w:rPr>
              <w:t>Shareholder Proposal</w:t>
            </w:r>
            <w:r w:rsidRPr="00D47A83">
              <w:rPr>
                <w:b/>
                <w:bCs/>
              </w:rPr>
              <w:t xml:space="preserve"> to be Voted Upon</w:t>
            </w:r>
          </w:p>
          <w:p w:rsidR="000459BE" w:rsidP="000459BE" w:rsidRDefault="000D00E3" w14:paraId="709305D9" w14:textId="7A6A3FA6">
            <w:pPr>
              <w:spacing w:after="240"/>
            </w:pPr>
            <w:hyperlink w:history="1" w:anchor="p-240.14a-4(a)(3)" r:id="rId134">
              <w:r w:rsidRPr="009938B8" w:rsidR="000459BE">
                <w:rPr>
                  <w:rStyle w:val="Hyperlink"/>
                </w:rPr>
                <w:t xml:space="preserve">Rule </w:t>
              </w:r>
              <w:proofErr w:type="spellStart"/>
              <w:r w:rsidRPr="009938B8" w:rsidR="000459BE">
                <w:rPr>
                  <w:rStyle w:val="Hyperlink"/>
                </w:rPr>
                <w:t>14a</w:t>
              </w:r>
              <w:proofErr w:type="spellEnd"/>
              <w:r w:rsidRPr="009938B8" w:rsidR="000459BE">
                <w:rPr>
                  <w:rStyle w:val="Hyperlink"/>
                </w:rPr>
                <w:t>-4(a)(3)</w:t>
              </w:r>
            </w:hyperlink>
            <w:r w:rsidRPr="00D47A83" w:rsidR="000459BE">
              <w:t xml:space="preserve"> requires that the form of proxy </w:t>
            </w:r>
            <w:r w:rsidR="000459BE">
              <w:t>“</w:t>
            </w:r>
            <w:r w:rsidRPr="00D47A83" w:rsidR="000459BE">
              <w:t>identify clearly and impartially each separate matter intended to be acted upon.</w:t>
            </w:r>
            <w:r w:rsidR="000459BE">
              <w:t>”</w:t>
            </w:r>
            <w:r w:rsidRPr="00D47A83" w:rsidR="000459BE">
              <w:t xml:space="preserve">  </w:t>
            </w:r>
            <w:r w:rsidR="000459BE">
              <w:t xml:space="preserve">SEC staff guidance published on March 22, 2016 addressed how </w:t>
            </w:r>
            <w:r w:rsidRPr="00D47A83" w:rsidR="000459BE">
              <w:t xml:space="preserve">specifically </w:t>
            </w:r>
            <w:r w:rsidR="000459BE">
              <w:t>a company must</w:t>
            </w:r>
            <w:r w:rsidRPr="00D47A83" w:rsidR="000459BE">
              <w:t xml:space="preserve"> describe a Rule </w:t>
            </w:r>
            <w:proofErr w:type="spellStart"/>
            <w:r w:rsidRPr="00D47A83" w:rsidR="000459BE">
              <w:t>14a</w:t>
            </w:r>
            <w:proofErr w:type="spellEnd"/>
            <w:r w:rsidRPr="00D47A83" w:rsidR="000459BE">
              <w:t>-8 shareholder proposal on its proxy card</w:t>
            </w:r>
            <w:r w:rsidR="000459BE">
              <w:t xml:space="preserve"> as follows:</w:t>
            </w:r>
          </w:p>
          <w:p w:rsidRPr="00D47A83" w:rsidR="000459BE" w:rsidP="000459BE" w:rsidRDefault="000459BE" w14:paraId="304B706F" w14:textId="341171BC">
            <w:pPr>
              <w:spacing w:after="240"/>
              <w:rPr>
                <w:i/>
                <w:iCs/>
              </w:rPr>
            </w:pPr>
            <w:r w:rsidRPr="00D47A83">
              <w:rPr>
                <w:i/>
                <w:iCs/>
              </w:rPr>
              <w:t>The proxy card should clearly identify and describe the specific action on which shareholders will be asked to vote.</w:t>
            </w:r>
            <w:r>
              <w:rPr>
                <w:i/>
                <w:iCs/>
              </w:rPr>
              <w:t xml:space="preserve"> </w:t>
            </w:r>
            <w:r w:rsidRPr="00D47A83">
              <w:rPr>
                <w:i/>
                <w:iCs/>
              </w:rPr>
              <w:t>This same principle applies to both management and shareholder proposals.</w:t>
            </w:r>
            <w:r>
              <w:rPr>
                <w:i/>
                <w:iCs/>
              </w:rPr>
              <w:t xml:space="preserve"> </w:t>
            </w:r>
            <w:r w:rsidRPr="00D47A83">
              <w:rPr>
                <w:i/>
                <w:iCs/>
              </w:rPr>
              <w:t>For example, it would not be appropriate to describe a management proposal to amend a company</w:t>
            </w:r>
            <w:r>
              <w:rPr>
                <w:i/>
                <w:iCs/>
              </w:rPr>
              <w:t>’</w:t>
            </w:r>
            <w:r w:rsidRPr="00D47A83">
              <w:rPr>
                <w:i/>
                <w:iCs/>
              </w:rPr>
              <w:t xml:space="preserve">s articles of incorporation to increase the number of authorized shares of common stock as </w:t>
            </w:r>
            <w:r>
              <w:rPr>
                <w:i/>
                <w:iCs/>
              </w:rPr>
              <w:t>“</w:t>
            </w:r>
            <w:r w:rsidRPr="00D47A83">
              <w:rPr>
                <w:i/>
                <w:iCs/>
              </w:rPr>
              <w:t>a proposal to amend our articles of incorporation.</w:t>
            </w:r>
            <w:r>
              <w:rPr>
                <w:i/>
                <w:iCs/>
              </w:rPr>
              <w:t>”</w:t>
            </w:r>
            <w:r w:rsidRPr="00D47A83">
              <w:rPr>
                <w:i/>
                <w:iCs/>
              </w:rPr>
              <w:t xml:space="preserve">  Similarly, it would not be appropriate to describe a shareholder proposal to amend a company</w:t>
            </w:r>
            <w:r>
              <w:rPr>
                <w:i/>
                <w:iCs/>
              </w:rPr>
              <w:t>’</w:t>
            </w:r>
            <w:r w:rsidRPr="00D47A83">
              <w:rPr>
                <w:i/>
                <w:iCs/>
              </w:rPr>
              <w:t>s bylaws to allow shareholders holding 10% of the company</w:t>
            </w:r>
            <w:r>
              <w:rPr>
                <w:i/>
                <w:iCs/>
              </w:rPr>
              <w:t>’</w:t>
            </w:r>
            <w:r w:rsidRPr="00D47A83">
              <w:rPr>
                <w:i/>
                <w:iCs/>
              </w:rPr>
              <w:t xml:space="preserve">s common stock to call a special meeting as </w:t>
            </w:r>
            <w:r>
              <w:rPr>
                <w:i/>
                <w:iCs/>
              </w:rPr>
              <w:t>“</w:t>
            </w:r>
            <w:r w:rsidRPr="00D47A83">
              <w:rPr>
                <w:i/>
                <w:iCs/>
              </w:rPr>
              <w:t>a shareholder proposal on special meetings.</w:t>
            </w:r>
            <w:r>
              <w:rPr>
                <w:i/>
                <w:iCs/>
              </w:rPr>
              <w:t>”</w:t>
            </w:r>
            <w:r w:rsidRPr="00D47A83">
              <w:rPr>
                <w:i/>
                <w:iCs/>
              </w:rPr>
              <w:t xml:space="preserve">  </w:t>
            </w:r>
          </w:p>
          <w:p w:rsidRPr="00D47A83" w:rsidR="000459BE" w:rsidP="000459BE" w:rsidRDefault="000459BE" w14:paraId="5207E9FC" w14:textId="17303AC6">
            <w:pPr>
              <w:spacing w:after="240"/>
              <w:rPr>
                <w:i/>
                <w:iCs/>
              </w:rPr>
            </w:pPr>
            <w:r w:rsidRPr="00D47A83">
              <w:rPr>
                <w:i/>
                <w:iCs/>
              </w:rPr>
              <w:t xml:space="preserve">The following descriptions of shareholder proposals also would not satisfy Rule </w:t>
            </w:r>
            <w:proofErr w:type="spellStart"/>
            <w:r w:rsidRPr="00D47A83">
              <w:rPr>
                <w:i/>
                <w:iCs/>
              </w:rPr>
              <w:t>14a</w:t>
            </w:r>
            <w:proofErr w:type="spellEnd"/>
            <w:r w:rsidRPr="00D47A83">
              <w:rPr>
                <w:i/>
                <w:iCs/>
              </w:rPr>
              <w:t>-4(a)(3):</w:t>
            </w:r>
          </w:p>
          <w:p w:rsidRPr="00D47A83" w:rsidR="000459BE" w:rsidP="000459BE" w:rsidRDefault="000459BE" w14:paraId="14A845FC" w14:textId="77777777">
            <w:pPr>
              <w:pStyle w:val="ListParagraph"/>
              <w:numPr>
                <w:ilvl w:val="0"/>
                <w:numId w:val="33"/>
              </w:numPr>
              <w:rPr>
                <w:i/>
                <w:iCs/>
              </w:rPr>
            </w:pPr>
            <w:r w:rsidRPr="00D47A83">
              <w:rPr>
                <w:i/>
                <w:iCs/>
              </w:rPr>
              <w:t>A shareholder proposal on executive compensation;</w:t>
            </w:r>
          </w:p>
          <w:p w:rsidRPr="00D47A83" w:rsidR="000459BE" w:rsidP="000459BE" w:rsidRDefault="000459BE" w14:paraId="16919B6F" w14:textId="77777777">
            <w:pPr>
              <w:pStyle w:val="ListParagraph"/>
              <w:numPr>
                <w:ilvl w:val="0"/>
                <w:numId w:val="33"/>
              </w:numPr>
              <w:rPr>
                <w:i/>
                <w:iCs/>
              </w:rPr>
            </w:pPr>
            <w:r w:rsidRPr="00D47A83">
              <w:rPr>
                <w:i/>
                <w:iCs/>
              </w:rPr>
              <w:t>A shareholder proposal on the environment;</w:t>
            </w:r>
          </w:p>
          <w:p w:rsidRPr="00D47A83" w:rsidR="000459BE" w:rsidP="000459BE" w:rsidRDefault="000459BE" w14:paraId="6B049E5B" w14:textId="77777777">
            <w:pPr>
              <w:pStyle w:val="ListParagraph"/>
              <w:numPr>
                <w:ilvl w:val="0"/>
                <w:numId w:val="33"/>
              </w:numPr>
              <w:rPr>
                <w:i/>
                <w:iCs/>
              </w:rPr>
            </w:pPr>
            <w:r w:rsidRPr="00D47A83">
              <w:rPr>
                <w:i/>
                <w:iCs/>
              </w:rPr>
              <w:t>A shareholder proposal, if properly presented; and</w:t>
            </w:r>
          </w:p>
          <w:p w:rsidRPr="003673A1" w:rsidR="000459BE" w:rsidP="000459BE" w:rsidRDefault="000459BE" w14:paraId="127B4578" w14:textId="2B3BE945">
            <w:pPr>
              <w:pStyle w:val="ListParagraph"/>
              <w:numPr>
                <w:ilvl w:val="0"/>
                <w:numId w:val="33"/>
              </w:numPr>
            </w:pPr>
            <w:r w:rsidRPr="00D47A83">
              <w:rPr>
                <w:i/>
                <w:iCs/>
              </w:rPr>
              <w:t>Shareholder proposal #3.</w:t>
            </w:r>
          </w:p>
        </w:tc>
        <w:tc>
          <w:tcPr>
            <w:tcW w:w="931" w:type="pct"/>
            <w:shd w:val="clear" w:color="auto" w:fill="FFFFFF"/>
          </w:tcPr>
          <w:p w:rsidRPr="00D47A83" w:rsidR="000459BE" w:rsidP="000459BE" w:rsidRDefault="000459BE" w14:paraId="10D600BB" w14:textId="423B3E4C">
            <w:pPr>
              <w:pStyle w:val="BodyText"/>
              <w:rPr>
                <w:szCs w:val="22"/>
              </w:rPr>
            </w:pPr>
            <w:r w:rsidRPr="00D47A83">
              <w:rPr>
                <w:szCs w:val="22"/>
              </w:rPr>
              <w:t xml:space="preserve">Exchange Act Rule </w:t>
            </w:r>
            <w:proofErr w:type="spellStart"/>
            <w:r w:rsidRPr="00D47A83">
              <w:rPr>
                <w:szCs w:val="22"/>
              </w:rPr>
              <w:t>14a</w:t>
            </w:r>
            <w:proofErr w:type="spellEnd"/>
            <w:r w:rsidRPr="00D47A83">
              <w:rPr>
                <w:szCs w:val="22"/>
              </w:rPr>
              <w:t>-4(a)(3)</w:t>
            </w:r>
            <w:r>
              <w:rPr>
                <w:szCs w:val="22"/>
              </w:rPr>
              <w:t xml:space="preserve">, </w:t>
            </w:r>
            <w:r w:rsidRPr="00D47A83">
              <w:rPr>
                <w:szCs w:val="22"/>
              </w:rPr>
              <w:t>Questions and Answers of General Applicability</w:t>
            </w:r>
            <w:r>
              <w:rPr>
                <w:szCs w:val="22"/>
              </w:rPr>
              <w:br/>
            </w:r>
            <w:r w:rsidRPr="00D47A83">
              <w:rPr>
                <w:szCs w:val="22"/>
              </w:rPr>
              <w:t>Update</w:t>
            </w:r>
            <w:r>
              <w:rPr>
                <w:szCs w:val="22"/>
              </w:rPr>
              <w:t>d</w:t>
            </w:r>
            <w:r w:rsidRPr="00D47A83">
              <w:rPr>
                <w:szCs w:val="22"/>
              </w:rPr>
              <w:t xml:space="preserve"> March 22, 2016</w:t>
            </w:r>
          </w:p>
          <w:p w:rsidRPr="00414307" w:rsidR="000459BE" w:rsidP="000459BE" w:rsidRDefault="000D00E3" w14:paraId="1E24D307" w14:textId="63C5891B">
            <w:pPr>
              <w:pStyle w:val="BodyText"/>
              <w:rPr>
                <w:szCs w:val="22"/>
              </w:rPr>
            </w:pPr>
            <w:hyperlink w:history="1" r:id="rId135">
              <w:r w:rsidRPr="00D47A83" w:rsidR="000459BE">
                <w:rPr>
                  <w:rStyle w:val="Hyperlink"/>
                  <w:szCs w:val="22"/>
                </w:rPr>
                <w:t xml:space="preserve">Section 301. Description under Rule </w:t>
              </w:r>
              <w:proofErr w:type="spellStart"/>
              <w:r w:rsidRPr="00D47A83" w:rsidR="000459BE">
                <w:rPr>
                  <w:rStyle w:val="Hyperlink"/>
                  <w:szCs w:val="22"/>
                </w:rPr>
                <w:t>14a</w:t>
              </w:r>
              <w:proofErr w:type="spellEnd"/>
              <w:r w:rsidRPr="00D47A83" w:rsidR="000459BE">
                <w:rPr>
                  <w:rStyle w:val="Hyperlink"/>
                  <w:szCs w:val="22"/>
                </w:rPr>
                <w:t xml:space="preserve">-4(a)(3) of Rule </w:t>
              </w:r>
              <w:proofErr w:type="spellStart"/>
              <w:r w:rsidRPr="00D47A83" w:rsidR="000459BE">
                <w:rPr>
                  <w:rStyle w:val="Hyperlink"/>
                  <w:szCs w:val="22"/>
                </w:rPr>
                <w:t>14a</w:t>
              </w:r>
              <w:proofErr w:type="spellEnd"/>
              <w:r w:rsidRPr="00D47A83" w:rsidR="000459BE">
                <w:rPr>
                  <w:rStyle w:val="Hyperlink"/>
                  <w:szCs w:val="22"/>
                </w:rPr>
                <w:t>-8 Shareholder Proposals</w:t>
              </w:r>
            </w:hyperlink>
          </w:p>
        </w:tc>
        <w:tc>
          <w:tcPr>
            <w:tcW w:w="561" w:type="pct"/>
            <w:shd w:val="clear" w:color="auto" w:fill="FFFFFF"/>
          </w:tcPr>
          <w:p w:rsidRPr="007E0B55" w:rsidR="000459BE" w:rsidP="000459BE" w:rsidRDefault="000459BE" w14:paraId="05C0837F" w14:textId="77777777">
            <w:pPr>
              <w:pStyle w:val="BodyText"/>
              <w:rPr>
                <w:sz w:val="20"/>
              </w:rPr>
            </w:pPr>
          </w:p>
        </w:tc>
        <w:tc>
          <w:tcPr>
            <w:tcW w:w="344" w:type="pct"/>
            <w:shd w:val="clear" w:color="auto" w:fill="FFFFFF"/>
            <w:vAlign w:val="center"/>
          </w:tcPr>
          <w:p w:rsidRPr="00E47B30" w:rsidR="000459BE" w:rsidP="000459BE" w:rsidRDefault="000459BE" w14:paraId="45814B58" w14:textId="77777777">
            <w:pPr>
              <w:spacing w:after="0"/>
              <w:jc w:val="center"/>
              <w:rPr>
                <w:szCs w:val="22"/>
              </w:rPr>
            </w:pPr>
          </w:p>
        </w:tc>
      </w:tr>
      <w:tr w:rsidRPr="00E47B30" w:rsidR="000459BE" w:rsidTr="00264FC4" w14:paraId="167A631E" w14:textId="77777777">
        <w:trPr>
          <w:cantSplit/>
          <w:jc w:val="center"/>
        </w:trPr>
        <w:tc>
          <w:tcPr>
            <w:tcW w:w="690" w:type="pct"/>
            <w:shd w:val="clear" w:color="auto" w:fill="FFFFFF"/>
          </w:tcPr>
          <w:p w:rsidRPr="00E47B30" w:rsidR="000459BE" w:rsidP="000459BE" w:rsidRDefault="000459BE" w14:paraId="2B4E1936" w14:textId="77777777">
            <w:pPr>
              <w:pStyle w:val="BodyText"/>
            </w:pPr>
          </w:p>
        </w:tc>
        <w:tc>
          <w:tcPr>
            <w:tcW w:w="523" w:type="pct"/>
            <w:shd w:val="clear" w:color="auto" w:fill="FFFFFF"/>
          </w:tcPr>
          <w:p w:rsidR="000459BE" w:rsidP="000459BE" w:rsidRDefault="000459BE" w14:paraId="6E29FFA3" w14:textId="77777777">
            <w:pPr>
              <w:pStyle w:val="BodyText"/>
              <w:jc w:val="center"/>
            </w:pPr>
          </w:p>
        </w:tc>
        <w:tc>
          <w:tcPr>
            <w:tcW w:w="1951" w:type="pct"/>
            <w:shd w:val="clear" w:color="auto" w:fill="FFFFFF"/>
          </w:tcPr>
          <w:p w:rsidR="000459BE" w:rsidP="000459BE" w:rsidRDefault="000459BE" w14:paraId="741DB4D4" w14:textId="77777777">
            <w:pPr>
              <w:spacing w:after="240"/>
            </w:pPr>
            <w:r w:rsidRPr="00627814">
              <w:rPr>
                <w:b/>
                <w:bCs/>
              </w:rPr>
              <w:t xml:space="preserve">Unbundling under Rule </w:t>
            </w:r>
            <w:proofErr w:type="spellStart"/>
            <w:r w:rsidRPr="00627814">
              <w:rPr>
                <w:b/>
                <w:bCs/>
              </w:rPr>
              <w:t>14a</w:t>
            </w:r>
            <w:proofErr w:type="spellEnd"/>
            <w:r w:rsidRPr="00627814">
              <w:rPr>
                <w:b/>
                <w:bCs/>
              </w:rPr>
              <w:t>-4(a)(3)</w:t>
            </w:r>
          </w:p>
          <w:p w:rsidR="000459BE" w:rsidP="000459BE" w:rsidRDefault="000459BE" w14:paraId="5EB5C235" w14:textId="2951D95E">
            <w:pPr>
              <w:spacing w:after="240"/>
            </w:pPr>
            <w:r>
              <w:t xml:space="preserve">The SEC staff has published Compliance and Disclosure Interpretations on Rule </w:t>
            </w:r>
            <w:proofErr w:type="spellStart"/>
            <w:r>
              <w:t>14a</w:t>
            </w:r>
            <w:proofErr w:type="spellEnd"/>
            <w:r>
              <w:t xml:space="preserve">-4(a)(3). </w:t>
            </w:r>
            <w:hyperlink w:history="1" r:id="rId136">
              <w:r>
                <w:rPr>
                  <w:rStyle w:val="Hyperlink"/>
                </w:rPr>
                <w:t>Section 101</w:t>
              </w:r>
            </w:hyperlink>
            <w:r>
              <w:t xml:space="preserve"> addresses u</w:t>
            </w:r>
            <w:r w:rsidRPr="00627814">
              <w:t xml:space="preserve">nbundling under Rule </w:t>
            </w:r>
            <w:proofErr w:type="spellStart"/>
            <w:r w:rsidRPr="00627814">
              <w:t>14a</w:t>
            </w:r>
            <w:proofErr w:type="spellEnd"/>
            <w:r w:rsidRPr="00627814">
              <w:t xml:space="preserve">-4(a)(3) </w:t>
            </w:r>
            <w:r>
              <w:t>g</w:t>
            </w:r>
            <w:r w:rsidRPr="00627814">
              <w:t>enerally</w:t>
            </w:r>
            <w:r>
              <w:t xml:space="preserve">. </w:t>
            </w:r>
            <w:hyperlink w:history="1" r:id="rId137">
              <w:r w:rsidRPr="00627814">
                <w:rPr>
                  <w:rStyle w:val="Hyperlink"/>
                </w:rPr>
                <w:t>Section 201</w:t>
              </w:r>
            </w:hyperlink>
            <w:r>
              <w:t xml:space="preserve"> addresses unbundling under Rule </w:t>
            </w:r>
            <w:proofErr w:type="spellStart"/>
            <w:r>
              <w:t>14a</w:t>
            </w:r>
            <w:proofErr w:type="spellEnd"/>
            <w:r>
              <w:t>-3(a)(3) in the M&amp;A context.</w:t>
            </w:r>
          </w:p>
          <w:p w:rsidR="000459BE" w:rsidP="000459BE" w:rsidRDefault="000459BE" w14:paraId="6ABAD9A1" w14:textId="321FF336">
            <w:pPr>
              <w:spacing w:after="240"/>
            </w:pPr>
            <w:r>
              <w:t>In general terms, m</w:t>
            </w:r>
            <w:r w:rsidRPr="00627814">
              <w:t xml:space="preserve">ultiple matters that are so </w:t>
            </w:r>
            <w:r>
              <w:t>“</w:t>
            </w:r>
            <w:r w:rsidRPr="00627814">
              <w:t>inextricably intertwined</w:t>
            </w:r>
            <w:r>
              <w:t>”</w:t>
            </w:r>
            <w:r w:rsidRPr="00627814">
              <w:t xml:space="preserve"> as to effectively constitute a single matter need not be unbundled. </w:t>
            </w:r>
          </w:p>
          <w:p w:rsidR="000459BE" w:rsidP="000459BE" w:rsidRDefault="000459BE" w14:paraId="48F78CD4" w14:textId="60514568">
            <w:pPr>
              <w:spacing w:after="240"/>
            </w:pPr>
            <w:r>
              <w:t>An example given in the C&amp;DI involves approval of</w:t>
            </w:r>
            <w:r w:rsidRPr="00627814">
              <w:t xml:space="preserve"> a charter amendment containing </w:t>
            </w:r>
            <w:r>
              <w:t>two</w:t>
            </w:r>
            <w:r w:rsidRPr="00627814">
              <w:t xml:space="preserve"> modifications </w:t>
            </w:r>
            <w:r>
              <w:t xml:space="preserve">of the terms of an outstanding series of preferred stock, </w:t>
            </w:r>
            <w:r w:rsidRPr="00627814">
              <w:t>one relating to the reduction of the dividend rate, and another relating to the extension of the maturity date</w:t>
            </w:r>
            <w:r>
              <w:t>. The staff would view</w:t>
            </w:r>
            <w:r w:rsidRPr="00627814">
              <w:t xml:space="preserve"> the matters relating to the terms of the preferred stock as being inextricably intertwined, because each of the proposed provisions relates to a basic financial term of the same series of capital stock.</w:t>
            </w:r>
            <w:r>
              <w:t xml:space="preserve"> The C&amp;DI indicates, as an example</w:t>
            </w:r>
            <w:r w:rsidRPr="00627814">
              <w:t>, that the staff would not view two arguably separate matters as being inextricably intertwined merely because the matters were negotiated as part of a transaction with a third party</w:t>
            </w:r>
            <w:r>
              <w:t>.</w:t>
            </w:r>
          </w:p>
          <w:p w:rsidR="000459BE" w:rsidP="000459BE" w:rsidRDefault="000459BE" w14:paraId="7C500584" w14:textId="77777777">
            <w:pPr>
              <w:spacing w:after="240"/>
            </w:pPr>
            <w:r>
              <w:t>This document does not deal with proxy statements that relate to merger, acquisition and other business combination transactions, for which there are additional requirements and staff interpretations.</w:t>
            </w:r>
          </w:p>
          <w:p w:rsidRPr="00570629" w:rsidR="000459BE" w:rsidP="000459BE" w:rsidRDefault="000459BE" w14:paraId="5C40F3F1" w14:textId="5B48691C">
            <w:pPr>
              <w:spacing w:after="240"/>
              <w:rPr>
                <w:i/>
                <w:iCs/>
              </w:rPr>
            </w:pPr>
            <w:r>
              <w:rPr>
                <w:i/>
                <w:iCs/>
              </w:rPr>
              <w:t xml:space="preserve">Confirm that the proxy card complies with staff interpretive positions on Rule </w:t>
            </w:r>
            <w:proofErr w:type="spellStart"/>
            <w:r>
              <w:rPr>
                <w:i/>
                <w:iCs/>
              </w:rPr>
              <w:t>14a</w:t>
            </w:r>
            <w:proofErr w:type="spellEnd"/>
            <w:r>
              <w:rPr>
                <w:i/>
                <w:iCs/>
              </w:rPr>
              <w:t>-4(a)(3).</w:t>
            </w:r>
          </w:p>
        </w:tc>
        <w:tc>
          <w:tcPr>
            <w:tcW w:w="931" w:type="pct"/>
            <w:shd w:val="clear" w:color="auto" w:fill="FFFFFF"/>
          </w:tcPr>
          <w:p w:rsidRPr="00D47A83" w:rsidR="000459BE" w:rsidP="000459BE" w:rsidRDefault="000459BE" w14:paraId="42DB5BC3" w14:textId="77777777">
            <w:pPr>
              <w:pStyle w:val="BodyText"/>
              <w:rPr>
                <w:szCs w:val="22"/>
              </w:rPr>
            </w:pPr>
          </w:p>
        </w:tc>
        <w:tc>
          <w:tcPr>
            <w:tcW w:w="561" w:type="pct"/>
            <w:shd w:val="clear" w:color="auto" w:fill="FFFFFF"/>
          </w:tcPr>
          <w:p w:rsidRPr="007E0B55" w:rsidR="000459BE" w:rsidP="000459BE" w:rsidRDefault="000459BE" w14:paraId="745C214D" w14:textId="77777777">
            <w:pPr>
              <w:pStyle w:val="BodyText"/>
              <w:rPr>
                <w:sz w:val="20"/>
              </w:rPr>
            </w:pPr>
          </w:p>
        </w:tc>
        <w:tc>
          <w:tcPr>
            <w:tcW w:w="344" w:type="pct"/>
            <w:shd w:val="clear" w:color="auto" w:fill="FFFFFF"/>
            <w:vAlign w:val="center"/>
          </w:tcPr>
          <w:p w:rsidRPr="00E47B30" w:rsidR="000459BE" w:rsidP="000459BE" w:rsidRDefault="000459BE" w14:paraId="3A2B3BE1"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0D768288" w14:textId="27A4F770">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264FC4" w14:paraId="76C1A801" w14:textId="77777777">
        <w:trPr>
          <w:cantSplit/>
          <w:jc w:val="center"/>
        </w:trPr>
        <w:tc>
          <w:tcPr>
            <w:tcW w:w="690" w:type="pct"/>
            <w:shd w:val="clear" w:color="auto" w:fill="FFFFFF"/>
          </w:tcPr>
          <w:p w:rsidRPr="00E47B30" w:rsidR="000459BE" w:rsidP="000459BE" w:rsidRDefault="000459BE" w14:paraId="05D7C626" w14:textId="77777777">
            <w:pPr>
              <w:pStyle w:val="BodyText"/>
            </w:pPr>
          </w:p>
        </w:tc>
        <w:tc>
          <w:tcPr>
            <w:tcW w:w="523" w:type="pct"/>
            <w:shd w:val="clear" w:color="auto" w:fill="FFFFFF"/>
          </w:tcPr>
          <w:p w:rsidRPr="00B561EC" w:rsidR="000459BE" w:rsidP="000459BE" w:rsidRDefault="000459BE" w14:paraId="41D9639D" w14:textId="77777777">
            <w:pPr>
              <w:pStyle w:val="BodyText"/>
              <w:jc w:val="center"/>
            </w:pPr>
          </w:p>
        </w:tc>
        <w:tc>
          <w:tcPr>
            <w:tcW w:w="1951" w:type="pct"/>
            <w:shd w:val="clear" w:color="auto" w:fill="FFFFFF"/>
          </w:tcPr>
          <w:p w:rsidR="000459BE" w:rsidP="000459BE" w:rsidRDefault="000459BE" w14:paraId="248E0650" w14:textId="77777777">
            <w:pPr>
              <w:spacing w:after="240"/>
            </w:pPr>
            <w:r>
              <w:rPr>
                <w:b/>
                <w:bCs/>
              </w:rPr>
              <w:t xml:space="preserve">Proxy Card Delivery and Filing Requirements </w:t>
            </w:r>
          </w:p>
          <w:p w:rsidRPr="003673A1" w:rsidR="000459BE" w:rsidP="000459BE" w:rsidRDefault="000459BE" w14:paraId="16977AF2" w14:textId="5B4942A1">
            <w:pPr>
              <w:spacing w:after="240"/>
            </w:pPr>
            <w:r w:rsidRPr="003673A1">
              <w:t>The company cannot deliver a proxy card to a security holder unless (1) the company has filed the definitive proxy statement with the SEC and (2) the definitive proxy statement accompanies or precedes the proxy card.</w:t>
            </w:r>
          </w:p>
          <w:p w:rsidR="000459BE" w:rsidP="000459BE" w:rsidRDefault="000459BE" w14:paraId="4BCF66A2" w14:textId="70404C83">
            <w:pPr>
              <w:spacing w:after="240"/>
            </w:pPr>
            <w:r w:rsidRPr="00FD10AE">
              <w:t xml:space="preserve">Electronic filers shall satisfy the filing requirements with respect to the </w:t>
            </w:r>
            <w:r>
              <w:t>proxy card</w:t>
            </w:r>
            <w:r w:rsidRPr="00FD10AE">
              <w:t xml:space="preserve"> filing the form of proxy as an appendix at the end of the proxy statement. </w:t>
            </w:r>
            <w:r>
              <w:t>The proxy card</w:t>
            </w:r>
            <w:r w:rsidRPr="00FD10AE">
              <w:t xml:space="preserve"> shall not be filed as </w:t>
            </w:r>
            <w:r>
              <w:t>an exhibit</w:t>
            </w:r>
            <w:r w:rsidRPr="00FD10AE">
              <w:t xml:space="preserve"> or separate document within an electronic submission.</w:t>
            </w:r>
          </w:p>
        </w:tc>
        <w:tc>
          <w:tcPr>
            <w:tcW w:w="931" w:type="pct"/>
            <w:shd w:val="clear" w:color="auto" w:fill="FFFFFF"/>
          </w:tcPr>
          <w:p w:rsidRPr="00414307" w:rsidR="000459BE" w:rsidP="000459BE" w:rsidRDefault="000459BE" w14:paraId="6EA14491" w14:textId="77777777">
            <w:pPr>
              <w:pStyle w:val="BodyText"/>
              <w:rPr>
                <w:szCs w:val="22"/>
              </w:rPr>
            </w:pPr>
          </w:p>
        </w:tc>
        <w:tc>
          <w:tcPr>
            <w:tcW w:w="561" w:type="pct"/>
            <w:shd w:val="clear" w:color="auto" w:fill="FFFFFF"/>
          </w:tcPr>
          <w:p w:rsidRPr="007E0B55" w:rsidR="000459BE" w:rsidP="000459BE" w:rsidRDefault="000459BE" w14:paraId="3BD06836" w14:textId="77777777">
            <w:pPr>
              <w:pStyle w:val="BodyText"/>
              <w:rPr>
                <w:sz w:val="20"/>
              </w:rPr>
            </w:pPr>
          </w:p>
        </w:tc>
        <w:tc>
          <w:tcPr>
            <w:tcW w:w="344" w:type="pct"/>
            <w:shd w:val="clear" w:color="auto" w:fill="FFFFFF"/>
            <w:vAlign w:val="center"/>
          </w:tcPr>
          <w:p w:rsidRPr="00E47B30" w:rsidR="000459BE" w:rsidP="000459BE" w:rsidRDefault="000459BE" w14:paraId="724089E6"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453AAB12" w14:textId="30F723BB">
            <w:pPr>
              <w:spacing w:after="24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264FC4" w14:paraId="0BF0FAB7" w14:textId="77777777">
        <w:trPr>
          <w:cantSplit/>
          <w:jc w:val="center"/>
        </w:trPr>
        <w:tc>
          <w:tcPr>
            <w:tcW w:w="690" w:type="pct"/>
            <w:shd w:val="clear" w:color="auto" w:fill="FFFFFF"/>
          </w:tcPr>
          <w:p w:rsidRPr="00E47B30" w:rsidR="000459BE" w:rsidP="000459BE" w:rsidRDefault="000459BE" w14:paraId="35C8304D" w14:textId="77777777">
            <w:pPr>
              <w:pStyle w:val="BodyText"/>
            </w:pPr>
          </w:p>
        </w:tc>
        <w:tc>
          <w:tcPr>
            <w:tcW w:w="523" w:type="pct"/>
            <w:shd w:val="clear" w:color="auto" w:fill="FFFFFF"/>
          </w:tcPr>
          <w:p w:rsidRPr="00B561EC" w:rsidR="000459BE" w:rsidP="000459BE" w:rsidRDefault="000459BE" w14:paraId="5BF1D9F4" w14:textId="77777777">
            <w:pPr>
              <w:pStyle w:val="BodyText"/>
              <w:jc w:val="center"/>
            </w:pPr>
          </w:p>
        </w:tc>
        <w:tc>
          <w:tcPr>
            <w:tcW w:w="1951" w:type="pct"/>
            <w:shd w:val="clear" w:color="auto" w:fill="FFFFFF"/>
          </w:tcPr>
          <w:p w:rsidR="000459BE" w:rsidP="000459BE" w:rsidRDefault="000459BE" w14:paraId="11B4C2F4" w14:textId="77777777">
            <w:pPr>
              <w:spacing w:after="240"/>
            </w:pPr>
            <w:r>
              <w:rPr>
                <w:b/>
                <w:bCs/>
              </w:rPr>
              <w:t xml:space="preserve">Form and Content of Proxy Cards </w:t>
            </w:r>
          </w:p>
          <w:p w:rsidRPr="00FD10AE" w:rsidR="000459BE" w:rsidP="000459BE" w:rsidRDefault="000459BE" w14:paraId="71253E11" w14:textId="23BFD756">
            <w:pPr>
              <w:spacing w:after="240"/>
            </w:pPr>
            <w:r w:rsidRPr="00FD10AE">
              <w:t xml:space="preserve">The </w:t>
            </w:r>
            <w:r w:rsidRPr="003673A1">
              <w:t>proxy card must:</w:t>
            </w:r>
            <w:r w:rsidRPr="00FD10AE">
              <w:t xml:space="preserve"> </w:t>
            </w:r>
          </w:p>
          <w:p w:rsidRPr="003673A1" w:rsidR="000459BE" w:rsidP="000459BE" w:rsidRDefault="000459BE" w14:paraId="3CCB0365" w14:textId="6A7762D3">
            <w:pPr>
              <w:pStyle w:val="ListParagraph"/>
            </w:pPr>
            <w:r w:rsidRPr="003673A1">
              <w:t xml:space="preserve">Indicate in </w:t>
            </w:r>
            <w:r w:rsidRPr="00264FC4">
              <w:t>bold-face type whether or not the proxy is solicited on behalf of the company</w:t>
            </w:r>
            <w:r>
              <w:t>’</w:t>
            </w:r>
            <w:r w:rsidRPr="00264FC4">
              <w:t>s board of directors</w:t>
            </w:r>
            <w:r>
              <w:t>;</w:t>
            </w:r>
          </w:p>
          <w:p w:rsidRPr="003673A1" w:rsidR="000459BE" w:rsidP="000459BE" w:rsidRDefault="000459BE" w14:paraId="534DFED9" w14:textId="59D1E980">
            <w:pPr>
              <w:pStyle w:val="ListParagraph"/>
            </w:pPr>
            <w:r w:rsidRPr="003673A1">
              <w:t xml:space="preserve">Provide a specifically designated blank space for dating the proxy card; and </w:t>
            </w:r>
          </w:p>
          <w:p w:rsidRPr="003673A1" w:rsidR="000459BE" w:rsidP="000459BE" w:rsidRDefault="000459BE" w14:paraId="7236BDC5" w14:textId="38124E9F">
            <w:pPr>
              <w:pStyle w:val="ListParagraph"/>
            </w:pPr>
            <w:r w:rsidRPr="003673A1">
              <w:t xml:space="preserve">Identify clearly and impartially each separate matter intended to be acted upon, whether or not related to or conditioned on the approval of other matters, and whether proposed by the </w:t>
            </w:r>
            <w:r>
              <w:t>company</w:t>
            </w:r>
            <w:r w:rsidRPr="003673A1">
              <w:t xml:space="preserve"> or by security holders.</w:t>
            </w:r>
            <w:r>
              <w:t xml:space="preserve"> </w:t>
            </w:r>
            <w:r w:rsidRPr="003673A1">
              <w:t>There is SEC staff guidance on this requirement.</w:t>
            </w:r>
          </w:p>
          <w:p w:rsidR="000459BE" w:rsidP="000459BE" w:rsidRDefault="000459BE" w14:paraId="79265B29" w14:textId="77777777">
            <w:pPr>
              <w:spacing w:after="240"/>
            </w:pPr>
            <w:r w:rsidRPr="003673A1">
              <w:t xml:space="preserve">The proxy card must provide a means for security holders </w:t>
            </w:r>
            <w:r w:rsidRPr="00FD10AE">
              <w:t>to specify by boxes a choice between approval or disapproval of, or abstention with respect to each separate matter to be acted upon</w:t>
            </w:r>
            <w:r w:rsidRPr="003673A1">
              <w:t xml:space="preserve"> at the annual meeting</w:t>
            </w:r>
            <w:r w:rsidRPr="00FD10AE">
              <w:t xml:space="preserve">, other than </w:t>
            </w:r>
            <w:r w:rsidRPr="003673A1">
              <w:t xml:space="preserve">(1) </w:t>
            </w:r>
            <w:r w:rsidRPr="00FD10AE">
              <w:t xml:space="preserve">elections to office and </w:t>
            </w:r>
            <w:r w:rsidRPr="003673A1">
              <w:t xml:space="preserve">(2) say-on-pay and say-on-frequency </w:t>
            </w:r>
            <w:r w:rsidRPr="00FD10AE">
              <w:t xml:space="preserve">votes on executive compensation. </w:t>
            </w:r>
          </w:p>
          <w:p w:rsidR="000459BE" w:rsidP="000459BE" w:rsidRDefault="000459BE" w14:paraId="684359A1" w14:textId="34EC6F9D">
            <w:pPr>
              <w:spacing w:after="240"/>
            </w:pPr>
            <w:r w:rsidRPr="003673A1">
              <w:t>The proxy card</w:t>
            </w:r>
            <w:r w:rsidRPr="00FD10AE">
              <w:t xml:space="preserve"> may confer discretionary authority with respect to matters as to which a choice is not specified by the security holder </w:t>
            </w:r>
            <w:r w:rsidRPr="003673A1">
              <w:t>if</w:t>
            </w:r>
            <w:r w:rsidRPr="00FD10AE">
              <w:t xml:space="preserve"> t</w:t>
            </w:r>
            <w:r w:rsidRPr="003673A1">
              <w:t xml:space="preserve">he proxy card </w:t>
            </w:r>
            <w:r w:rsidRPr="00FD10AE">
              <w:t xml:space="preserve">states in bold-face type how it </w:t>
            </w:r>
            <w:r w:rsidRPr="003673A1">
              <w:t>the proxies intend</w:t>
            </w:r>
            <w:r w:rsidRPr="00FD10AE">
              <w:t xml:space="preserve"> to vote the shares represented by the proxy </w:t>
            </w:r>
            <w:r w:rsidRPr="003673A1">
              <w:t>for director elections and each matter to be acted upon</w:t>
            </w:r>
            <w:r w:rsidRPr="00FD10AE">
              <w:t xml:space="preserve">. </w:t>
            </w:r>
          </w:p>
        </w:tc>
        <w:tc>
          <w:tcPr>
            <w:tcW w:w="931" w:type="pct"/>
            <w:shd w:val="clear" w:color="auto" w:fill="FFFFFF"/>
          </w:tcPr>
          <w:p w:rsidRPr="00414307" w:rsidR="000459BE" w:rsidP="000459BE" w:rsidRDefault="000459BE" w14:paraId="7AD25638" w14:textId="77777777">
            <w:pPr>
              <w:pStyle w:val="BodyText"/>
              <w:rPr>
                <w:szCs w:val="22"/>
              </w:rPr>
            </w:pPr>
          </w:p>
        </w:tc>
        <w:tc>
          <w:tcPr>
            <w:tcW w:w="561" w:type="pct"/>
            <w:shd w:val="clear" w:color="auto" w:fill="FFFFFF"/>
          </w:tcPr>
          <w:p w:rsidRPr="007E0B55" w:rsidR="000459BE" w:rsidP="000459BE" w:rsidRDefault="000459BE" w14:paraId="72428F49" w14:textId="77777777">
            <w:pPr>
              <w:pStyle w:val="BodyText"/>
              <w:rPr>
                <w:sz w:val="20"/>
              </w:rPr>
            </w:pPr>
          </w:p>
        </w:tc>
        <w:tc>
          <w:tcPr>
            <w:tcW w:w="344" w:type="pct"/>
            <w:shd w:val="clear" w:color="auto" w:fill="FFFFFF"/>
            <w:vAlign w:val="center"/>
          </w:tcPr>
          <w:p w:rsidRPr="00E47B30" w:rsidR="000459BE" w:rsidP="000459BE" w:rsidRDefault="000459BE" w14:paraId="14229B6C"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7E7FE7EA" w14:textId="0EB13396">
            <w:pPr>
              <w:spacing w:after="24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264FC4" w14:paraId="6B017345" w14:textId="77777777">
        <w:trPr>
          <w:cantSplit/>
          <w:jc w:val="center"/>
        </w:trPr>
        <w:tc>
          <w:tcPr>
            <w:tcW w:w="690" w:type="pct"/>
            <w:shd w:val="clear" w:color="auto" w:fill="FFFFFF"/>
          </w:tcPr>
          <w:p w:rsidRPr="00E47B30" w:rsidR="000459BE" w:rsidP="000459BE" w:rsidRDefault="000459BE" w14:paraId="1164C588" w14:textId="77777777">
            <w:pPr>
              <w:pStyle w:val="BodyText"/>
            </w:pPr>
          </w:p>
        </w:tc>
        <w:tc>
          <w:tcPr>
            <w:tcW w:w="523" w:type="pct"/>
            <w:shd w:val="clear" w:color="auto" w:fill="FFFFFF"/>
          </w:tcPr>
          <w:p w:rsidRPr="00B561EC" w:rsidR="000459BE" w:rsidP="000459BE" w:rsidRDefault="000459BE" w14:paraId="61FAAB5A" w14:textId="77777777">
            <w:pPr>
              <w:pStyle w:val="BodyText"/>
              <w:jc w:val="center"/>
            </w:pPr>
          </w:p>
        </w:tc>
        <w:tc>
          <w:tcPr>
            <w:tcW w:w="1951" w:type="pct"/>
            <w:shd w:val="clear" w:color="auto" w:fill="FFFFFF"/>
          </w:tcPr>
          <w:p w:rsidRPr="00D47A83" w:rsidR="000459BE" w:rsidP="000459BE" w:rsidRDefault="000459BE" w14:paraId="66D1F4B9" w14:textId="77777777">
            <w:pPr>
              <w:spacing w:after="240"/>
              <w:rPr>
                <w:b/>
                <w:bCs/>
              </w:rPr>
            </w:pPr>
            <w:r w:rsidRPr="00D47A83">
              <w:rPr>
                <w:b/>
                <w:bCs/>
              </w:rPr>
              <w:t>Requirements for proxy cards for director elections</w:t>
            </w:r>
          </w:p>
          <w:p w:rsidRPr="00FD10AE" w:rsidR="000459BE" w:rsidP="000459BE" w:rsidRDefault="000459BE" w14:paraId="1FA65120" w14:textId="087BDA44">
            <w:pPr>
              <w:spacing w:after="240"/>
            </w:pPr>
            <w:r w:rsidRPr="003673A1">
              <w:t xml:space="preserve">The proxy card must </w:t>
            </w:r>
            <w:r w:rsidRPr="00FD10AE">
              <w:t>set forth the name</w:t>
            </w:r>
            <w:r w:rsidRPr="003673A1">
              <w:t xml:space="preserve"> of each person </w:t>
            </w:r>
            <w:r w:rsidRPr="00FD10AE">
              <w:t xml:space="preserve">nominated for election as </w:t>
            </w:r>
            <w:r w:rsidRPr="003673A1">
              <w:t>a director</w:t>
            </w:r>
            <w:r w:rsidRPr="00FD10AE">
              <w:t xml:space="preserve">, including any person whose nomination by a shareholder or shareholder group satisfies the requirements of </w:t>
            </w:r>
            <w:r w:rsidRPr="003673A1">
              <w:t xml:space="preserve">(1) </w:t>
            </w:r>
            <w:r w:rsidRPr="00FD10AE">
              <w:t>an applicable state or foreign law provision</w:t>
            </w:r>
            <w:r w:rsidRPr="003673A1">
              <w:t xml:space="preserve"> </w:t>
            </w:r>
            <w:r w:rsidRPr="00FD10AE">
              <w:t xml:space="preserve">or </w:t>
            </w:r>
            <w:r w:rsidRPr="003673A1">
              <w:t>(2) the company</w:t>
            </w:r>
            <w:r>
              <w:t>’</w:t>
            </w:r>
            <w:r w:rsidRPr="003673A1">
              <w:t>s</w:t>
            </w:r>
            <w:r w:rsidRPr="00FD10AE">
              <w:t xml:space="preserve"> governing documents as they relate to the inclusion of shareholder director nominees in the </w:t>
            </w:r>
            <w:r w:rsidRPr="003673A1">
              <w:t>company</w:t>
            </w:r>
            <w:r>
              <w:t>’</w:t>
            </w:r>
            <w:r w:rsidRPr="003673A1">
              <w:t>s</w:t>
            </w:r>
            <w:r w:rsidRPr="00FD10AE">
              <w:t xml:space="preserve"> proxy materials. </w:t>
            </w:r>
          </w:p>
          <w:p w:rsidRPr="003673A1" w:rsidR="000459BE" w:rsidP="000459BE" w:rsidRDefault="000459BE" w14:paraId="4A82EC07" w14:textId="32DAFA8A">
            <w:pPr>
              <w:spacing w:after="240"/>
            </w:pPr>
            <w:r w:rsidRPr="00FD10AE">
              <w:t xml:space="preserve">Except as otherwise provided in </w:t>
            </w:r>
            <w:hyperlink w:history="1" r:id="rId138">
              <w:r>
                <w:rPr>
                  <w:rStyle w:val="Hyperlink"/>
                </w:rPr>
                <w:t xml:space="preserve">Rule </w:t>
              </w:r>
              <w:proofErr w:type="spellStart"/>
              <w:r>
                <w:rPr>
                  <w:rStyle w:val="Hyperlink"/>
                </w:rPr>
                <w:t>1</w:t>
              </w:r>
              <w:r w:rsidRPr="00FD10AE">
                <w:rPr>
                  <w:rStyle w:val="Hyperlink"/>
                </w:rPr>
                <w:t>4a</w:t>
              </w:r>
              <w:proofErr w:type="spellEnd"/>
              <w:r w:rsidRPr="00FD10AE">
                <w:rPr>
                  <w:rStyle w:val="Hyperlink"/>
                </w:rPr>
                <w:t>-19</w:t>
              </w:r>
            </w:hyperlink>
            <w:r w:rsidRPr="00FD10AE">
              <w:t xml:space="preserve">, </w:t>
            </w:r>
            <w:r w:rsidRPr="003673A1">
              <w:t xml:space="preserve">which is not effective for annual meetings held on or before August 31, 2022, a proxy card </w:t>
            </w:r>
            <w:r w:rsidRPr="00FD10AE">
              <w:t xml:space="preserve">that provides for the election of directors may provide a means for the security holder to grant authority to vote for the </w:t>
            </w:r>
            <w:r w:rsidRPr="003673A1">
              <w:t>named nominees</w:t>
            </w:r>
            <w:r w:rsidRPr="00FD10AE">
              <w:t xml:space="preserve"> as a group, </w:t>
            </w:r>
            <w:r w:rsidRPr="003673A1">
              <w:t>but only if</w:t>
            </w:r>
            <w:r w:rsidRPr="00FD10AE">
              <w:t xml:space="preserve"> </w:t>
            </w:r>
            <w:r w:rsidRPr="003673A1">
              <w:t xml:space="preserve">the proxy card provides </w:t>
            </w:r>
            <w:r w:rsidRPr="00FD10AE">
              <w:t>a similar means for the security holder to withhold authority to vote for such group of nominees</w:t>
            </w:r>
            <w:r w:rsidRPr="003673A1">
              <w:t>.</w:t>
            </w:r>
            <w:r>
              <w:t xml:space="preserve"> </w:t>
            </w:r>
            <w:r w:rsidRPr="003673A1">
              <w:t>If</w:t>
            </w:r>
            <w:r>
              <w:t xml:space="preserve"> </w:t>
            </w:r>
            <w:r w:rsidRPr="00FD10AE">
              <w:t xml:space="preserve">applicable state law gives legal effect to votes cast against a nominee, </w:t>
            </w:r>
            <w:r w:rsidRPr="003673A1">
              <w:t xml:space="preserve">then instead of providing a means to withhold authority to vote, the proxy card must provide </w:t>
            </w:r>
            <w:r w:rsidRPr="00FD10AE">
              <w:t xml:space="preserve">a means for the security holder to vote against </w:t>
            </w:r>
            <w:r w:rsidRPr="003673A1">
              <w:t xml:space="preserve">the nominees as a group and </w:t>
            </w:r>
            <w:r w:rsidRPr="00FD10AE">
              <w:t xml:space="preserve">to abstain from voting </w:t>
            </w:r>
            <w:r w:rsidRPr="003673A1">
              <w:t>for the nominees as a group</w:t>
            </w:r>
            <w:r w:rsidRPr="00FD10AE">
              <w:t xml:space="preserve">. </w:t>
            </w:r>
          </w:p>
          <w:p w:rsidRPr="00FD10AE" w:rsidR="000459BE" w:rsidP="000459BE" w:rsidRDefault="000459BE" w14:paraId="1BA59340" w14:textId="0E9F0B26">
            <w:pPr>
              <w:spacing w:after="240"/>
            </w:pPr>
            <w:r w:rsidRPr="003673A1">
              <w:t>The proxy card cannot provide a m</w:t>
            </w:r>
            <w:r w:rsidRPr="00FD10AE">
              <w:t xml:space="preserve">eans to grant authority to vote for any nominees as a group or to withhold authority for any nominees as a group or to vote against any nominees as a group </w:t>
            </w:r>
            <w:r w:rsidRPr="003673A1">
              <w:t>if the proxy card</w:t>
            </w:r>
            <w:r w:rsidRPr="00FD10AE">
              <w:t xml:space="preserve"> includes one or more shareholder nominees in accordance with an applicable state or foreign law provision, or </w:t>
            </w:r>
            <w:r w:rsidRPr="003673A1">
              <w:t>the company</w:t>
            </w:r>
            <w:r>
              <w:t>’</w:t>
            </w:r>
            <w:r w:rsidRPr="003673A1">
              <w:t xml:space="preserve">s </w:t>
            </w:r>
            <w:r w:rsidRPr="00FD10AE">
              <w:t xml:space="preserve">governing documents as they relate to the inclusion of shareholder director nominees in the </w:t>
            </w:r>
            <w:r w:rsidRPr="003673A1">
              <w:t>company</w:t>
            </w:r>
            <w:r>
              <w:t>’</w:t>
            </w:r>
            <w:r w:rsidRPr="003673A1">
              <w:t>s</w:t>
            </w:r>
            <w:r w:rsidRPr="00FD10AE">
              <w:t xml:space="preserve"> proxy materials. </w:t>
            </w:r>
          </w:p>
          <w:p w:rsidR="000459BE" w:rsidP="000459BE" w:rsidRDefault="000459BE" w14:paraId="688C7755" w14:textId="49395E2B">
            <w:pPr>
              <w:spacing w:after="240"/>
            </w:pPr>
            <w:r w:rsidRPr="003673A1">
              <w:t xml:space="preserve">If the proxy card so states in bold-face type, a proxy card </w:t>
            </w:r>
            <w:r w:rsidRPr="00FD10AE">
              <w:t>executed by the security holder shall be deemed to grant authority to vote for the election of any nominee</w:t>
            </w:r>
            <w:r w:rsidRPr="003673A1">
              <w:t xml:space="preserve"> if the proxy card does not</w:t>
            </w:r>
            <w:r w:rsidRPr="00FD10AE">
              <w:t xml:space="preserve"> withhold authority to vote for the election of any nominee or not to grant authority to vote against the election of any nominee</w:t>
            </w:r>
            <w:r>
              <w:t>.</w:t>
            </w:r>
          </w:p>
        </w:tc>
        <w:tc>
          <w:tcPr>
            <w:tcW w:w="931" w:type="pct"/>
            <w:shd w:val="clear" w:color="auto" w:fill="FFFFFF"/>
          </w:tcPr>
          <w:p w:rsidRPr="00414307" w:rsidR="000459BE" w:rsidP="000459BE" w:rsidRDefault="000459BE" w14:paraId="6FCAD756" w14:textId="77777777">
            <w:pPr>
              <w:pStyle w:val="BodyText"/>
              <w:rPr>
                <w:szCs w:val="22"/>
              </w:rPr>
            </w:pPr>
          </w:p>
        </w:tc>
        <w:tc>
          <w:tcPr>
            <w:tcW w:w="561" w:type="pct"/>
            <w:shd w:val="clear" w:color="auto" w:fill="FFFFFF"/>
          </w:tcPr>
          <w:p w:rsidRPr="007E0B55" w:rsidR="000459BE" w:rsidP="000459BE" w:rsidRDefault="000459BE" w14:paraId="53B3E7D1" w14:textId="77777777">
            <w:pPr>
              <w:pStyle w:val="BodyText"/>
              <w:rPr>
                <w:sz w:val="20"/>
              </w:rPr>
            </w:pPr>
          </w:p>
        </w:tc>
        <w:tc>
          <w:tcPr>
            <w:tcW w:w="344" w:type="pct"/>
            <w:shd w:val="clear" w:color="auto" w:fill="FFFFFF"/>
            <w:vAlign w:val="center"/>
          </w:tcPr>
          <w:p w:rsidRPr="00E47B30" w:rsidR="000459BE" w:rsidP="000459BE" w:rsidRDefault="000459BE" w14:paraId="3F14C18E"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37D11438" w14:textId="1A524A0B">
            <w:pPr>
              <w:spacing w:after="24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264FC4" w14:paraId="33DA1242" w14:textId="77777777">
        <w:trPr>
          <w:cantSplit/>
          <w:jc w:val="center"/>
        </w:trPr>
        <w:tc>
          <w:tcPr>
            <w:tcW w:w="690" w:type="pct"/>
            <w:shd w:val="clear" w:color="auto" w:fill="FFFFFF"/>
          </w:tcPr>
          <w:p w:rsidRPr="00E47B30" w:rsidR="000459BE" w:rsidP="000459BE" w:rsidRDefault="000459BE" w14:paraId="25F33379" w14:textId="77777777">
            <w:pPr>
              <w:pStyle w:val="BodyText"/>
            </w:pPr>
          </w:p>
        </w:tc>
        <w:tc>
          <w:tcPr>
            <w:tcW w:w="523" w:type="pct"/>
            <w:shd w:val="clear" w:color="auto" w:fill="FFFFFF"/>
          </w:tcPr>
          <w:p w:rsidRPr="00B561EC" w:rsidR="000459BE" w:rsidP="000459BE" w:rsidRDefault="000459BE" w14:paraId="7E0A6A5E" w14:textId="77777777">
            <w:pPr>
              <w:pStyle w:val="BodyText"/>
              <w:jc w:val="center"/>
            </w:pPr>
          </w:p>
        </w:tc>
        <w:tc>
          <w:tcPr>
            <w:tcW w:w="1951" w:type="pct"/>
            <w:shd w:val="clear" w:color="auto" w:fill="FFFFFF"/>
          </w:tcPr>
          <w:p w:rsidRPr="003673A1" w:rsidR="000459BE" w:rsidP="000459BE" w:rsidRDefault="000459BE" w14:paraId="0E7B71A7" w14:textId="77777777">
            <w:pPr>
              <w:spacing w:after="240"/>
            </w:pPr>
            <w:r w:rsidRPr="003673A1">
              <w:t xml:space="preserve">If </w:t>
            </w:r>
            <w:r w:rsidRPr="00FD10AE">
              <w:t xml:space="preserve">applicable state law gives legal effect to votes cast against a nominee, then </w:t>
            </w:r>
            <w:r w:rsidRPr="003673A1">
              <w:t>instead of providing</w:t>
            </w:r>
            <w:r w:rsidRPr="00FD10AE">
              <w:t xml:space="preserve"> a means for security holders to withhold authority to vote, the form of proxy shall provide a means </w:t>
            </w:r>
            <w:r w:rsidRPr="00FD10AE">
              <w:lastRenderedPageBreak/>
              <w:t xml:space="preserve">for security holders to vote against each nominee and a means for security holders to abstain from voting. </w:t>
            </w:r>
          </w:p>
          <w:p w:rsidRPr="00FD10AE" w:rsidR="000459BE" w:rsidP="000459BE" w:rsidRDefault="000459BE" w14:paraId="30C3D947" w14:textId="7F7675D0">
            <w:pPr>
              <w:spacing w:after="240"/>
            </w:pPr>
            <w:r w:rsidRPr="00FD10AE">
              <w:t xml:space="preserve">When applicable state law does not give legal effect to votes cast against a nominee, </w:t>
            </w:r>
            <w:r w:rsidRPr="003673A1">
              <w:t>the proxy card</w:t>
            </w:r>
            <w:r w:rsidRPr="00FD10AE">
              <w:t xml:space="preserve"> shall not provide a means for security holders to vote against any nominee</w:t>
            </w:r>
            <w:r w:rsidRPr="003673A1">
              <w:t>.</w:t>
            </w:r>
            <w:r>
              <w:t xml:space="preserve"> </w:t>
            </w:r>
            <w:r w:rsidRPr="003673A1">
              <w:t>In this case, the proxy card must</w:t>
            </w:r>
            <w:r w:rsidRPr="00FD10AE">
              <w:t xml:space="preserve"> clearly provide any of the following means for security holders to withhold authority to vote for each nominee: </w:t>
            </w:r>
          </w:p>
          <w:p w:rsidRPr="003673A1" w:rsidR="000459BE" w:rsidP="000459BE" w:rsidRDefault="000459BE" w14:paraId="647348D1" w14:textId="77777777">
            <w:pPr>
              <w:pStyle w:val="ListParagraph"/>
            </w:pPr>
            <w:r w:rsidRPr="003673A1">
              <w:t xml:space="preserve">A box opposite nominee is withheld; or </w:t>
            </w:r>
          </w:p>
          <w:p w:rsidRPr="003673A1" w:rsidR="000459BE" w:rsidP="000459BE" w:rsidRDefault="000459BE" w14:paraId="35BD5377" w14:textId="77777777">
            <w:pPr>
              <w:pStyle w:val="ListParagraph"/>
            </w:pPr>
            <w:r w:rsidRPr="003673A1">
              <w:t xml:space="preserve">An instruction in bold-face type which indicates that the security holder may withhold authority to vote for any nominee by lining through or otherwise striking out the name of any nominee; or </w:t>
            </w:r>
          </w:p>
          <w:p w:rsidRPr="003673A1" w:rsidR="000459BE" w:rsidP="000459BE" w:rsidRDefault="000459BE" w14:paraId="3B37D865" w14:textId="77777777">
            <w:pPr>
              <w:pStyle w:val="ListParagraph"/>
            </w:pPr>
            <w:r w:rsidRPr="003673A1">
              <w:t xml:space="preserve">Designated blank spaces in which the security holder may enter the names of nominees with respect to whom the security holder chooses to withhold authority to vote; or </w:t>
            </w:r>
          </w:p>
          <w:p w:rsidR="000459BE" w:rsidP="000459BE" w:rsidRDefault="000459BE" w14:paraId="709F87F0" w14:textId="21C69130">
            <w:pPr>
              <w:pStyle w:val="ListParagraph"/>
            </w:pPr>
            <w:r w:rsidRPr="003673A1">
              <w:t xml:space="preserve">Any other similar means, provided that clear instructions are furnished indicating how the security holder the name of each nominee which may be marked to indicate that authority to vote for such may withhold authority to vote for any nominee. </w:t>
            </w:r>
          </w:p>
        </w:tc>
        <w:tc>
          <w:tcPr>
            <w:tcW w:w="931" w:type="pct"/>
            <w:shd w:val="clear" w:color="auto" w:fill="FFFFFF"/>
          </w:tcPr>
          <w:p w:rsidR="000459BE" w:rsidP="000459BE" w:rsidRDefault="000459BE" w14:paraId="2044D8A2" w14:textId="77777777">
            <w:pPr>
              <w:pStyle w:val="BodyText"/>
              <w:rPr>
                <w:szCs w:val="22"/>
              </w:rPr>
            </w:pPr>
          </w:p>
          <w:p w:rsidR="000459BE" w:rsidP="000459BE" w:rsidRDefault="000459BE" w14:paraId="48857707" w14:textId="77777777">
            <w:pPr>
              <w:pStyle w:val="BodyText"/>
              <w:rPr>
                <w:szCs w:val="22"/>
              </w:rPr>
            </w:pPr>
          </w:p>
          <w:p w:rsidR="000459BE" w:rsidP="000459BE" w:rsidRDefault="000459BE" w14:paraId="4469E1D2" w14:textId="77777777">
            <w:pPr>
              <w:pStyle w:val="BodyText"/>
              <w:rPr>
                <w:szCs w:val="22"/>
              </w:rPr>
            </w:pPr>
          </w:p>
          <w:p w:rsidR="000459BE" w:rsidP="000459BE" w:rsidRDefault="000459BE" w14:paraId="51A15F1F" w14:textId="77777777">
            <w:pPr>
              <w:pStyle w:val="BodyText"/>
              <w:rPr>
                <w:szCs w:val="22"/>
              </w:rPr>
            </w:pPr>
          </w:p>
          <w:p w:rsidR="000459BE" w:rsidP="000459BE" w:rsidRDefault="000459BE" w14:paraId="27A05426" w14:textId="77777777">
            <w:pPr>
              <w:pStyle w:val="BodyText"/>
              <w:rPr>
                <w:szCs w:val="22"/>
              </w:rPr>
            </w:pPr>
          </w:p>
          <w:p w:rsidR="000459BE" w:rsidP="000459BE" w:rsidRDefault="000459BE" w14:paraId="57FCC387" w14:textId="77777777">
            <w:pPr>
              <w:pStyle w:val="BodyText"/>
              <w:rPr>
                <w:szCs w:val="22"/>
              </w:rPr>
            </w:pPr>
          </w:p>
          <w:p w:rsidR="000459BE" w:rsidP="000459BE" w:rsidRDefault="000459BE" w14:paraId="0DFE8A1F" w14:textId="77777777">
            <w:pPr>
              <w:pStyle w:val="BodyText"/>
              <w:rPr>
                <w:szCs w:val="22"/>
              </w:rPr>
            </w:pPr>
          </w:p>
          <w:p w:rsidR="000459BE" w:rsidP="000459BE" w:rsidRDefault="000459BE" w14:paraId="62F4AE50" w14:textId="77777777">
            <w:pPr>
              <w:pStyle w:val="BodyText"/>
              <w:rPr>
                <w:szCs w:val="22"/>
              </w:rPr>
            </w:pPr>
          </w:p>
          <w:p w:rsidR="000459BE" w:rsidP="000459BE" w:rsidRDefault="000459BE" w14:paraId="4D6EB5DD" w14:textId="77777777">
            <w:pPr>
              <w:pStyle w:val="BodyText"/>
              <w:rPr>
                <w:szCs w:val="22"/>
              </w:rPr>
            </w:pPr>
          </w:p>
          <w:p w:rsidRPr="00414307" w:rsidR="000459BE" w:rsidP="000459BE" w:rsidRDefault="000459BE" w14:paraId="332F02B1" w14:textId="5FD0197D">
            <w:pPr>
              <w:pStyle w:val="BodyText"/>
              <w:rPr>
                <w:szCs w:val="22"/>
              </w:rPr>
            </w:pPr>
          </w:p>
        </w:tc>
        <w:tc>
          <w:tcPr>
            <w:tcW w:w="561" w:type="pct"/>
            <w:shd w:val="clear" w:color="auto" w:fill="FFFFFF"/>
          </w:tcPr>
          <w:p w:rsidRPr="007E0B55" w:rsidR="000459BE" w:rsidP="000459BE" w:rsidRDefault="000459BE" w14:paraId="2D87078F" w14:textId="77777777">
            <w:pPr>
              <w:pStyle w:val="BodyText"/>
              <w:rPr>
                <w:sz w:val="20"/>
              </w:rPr>
            </w:pPr>
          </w:p>
        </w:tc>
        <w:tc>
          <w:tcPr>
            <w:tcW w:w="344" w:type="pct"/>
            <w:shd w:val="clear" w:color="auto" w:fill="FFFFFF"/>
            <w:vAlign w:val="center"/>
          </w:tcPr>
          <w:p w:rsidRPr="00E47B30" w:rsidR="000459BE" w:rsidP="000459BE" w:rsidRDefault="000459BE" w14:paraId="61EF3939"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3039C8D3" w14:textId="31732683">
            <w:pPr>
              <w:spacing w:after="240"/>
              <w:jc w:val="center"/>
              <w:rPr>
                <w:szCs w:val="22"/>
              </w:rPr>
            </w:pPr>
            <w:r w:rsidRPr="00E47B30">
              <w:rPr>
                <w:szCs w:val="22"/>
              </w:rPr>
              <w:lastRenderedPageBreak/>
              <w:t xml:space="preserve">No  </w:t>
            </w:r>
            <w:r w:rsidRPr="00E47B30">
              <w:rPr>
                <w:rFonts w:ascii="Segoe UI Symbol" w:hAnsi="Segoe UI Symbol" w:eastAsia="MS Gothic" w:cs="Segoe UI Symbol"/>
                <w:szCs w:val="22"/>
              </w:rPr>
              <w:t>☐</w:t>
            </w:r>
          </w:p>
        </w:tc>
      </w:tr>
      <w:tr w:rsidRPr="00E47B30" w:rsidR="000459BE" w:rsidTr="00264FC4" w14:paraId="702E79B6" w14:textId="77777777">
        <w:trPr>
          <w:cantSplit/>
          <w:jc w:val="center"/>
        </w:trPr>
        <w:tc>
          <w:tcPr>
            <w:tcW w:w="690" w:type="pct"/>
            <w:shd w:val="clear" w:color="auto" w:fill="FFFFFF"/>
          </w:tcPr>
          <w:p w:rsidRPr="00E47B30" w:rsidR="000459BE" w:rsidP="000459BE" w:rsidRDefault="000459BE" w14:paraId="2AE2EAF7" w14:textId="77777777">
            <w:pPr>
              <w:pStyle w:val="BodyText"/>
            </w:pPr>
          </w:p>
        </w:tc>
        <w:tc>
          <w:tcPr>
            <w:tcW w:w="523" w:type="pct"/>
            <w:shd w:val="clear" w:color="auto" w:fill="FFFFFF"/>
          </w:tcPr>
          <w:p w:rsidRPr="00B561EC" w:rsidR="000459BE" w:rsidP="000459BE" w:rsidRDefault="000459BE" w14:paraId="5E5CC0B3" w14:textId="77777777">
            <w:pPr>
              <w:pStyle w:val="BodyText"/>
              <w:jc w:val="center"/>
            </w:pPr>
          </w:p>
        </w:tc>
        <w:tc>
          <w:tcPr>
            <w:tcW w:w="1951" w:type="pct"/>
            <w:shd w:val="clear" w:color="auto" w:fill="FFFFFF"/>
          </w:tcPr>
          <w:p w:rsidRPr="003673A1" w:rsidR="000459BE" w:rsidP="000459BE" w:rsidRDefault="000459BE" w14:paraId="6E3B25CB" w14:textId="6CEAF1CC">
            <w:pPr>
              <w:spacing w:after="240"/>
            </w:pPr>
            <w:r w:rsidRPr="00FD10AE">
              <w:t>For an annual meeting of shareholders,</w:t>
            </w:r>
            <w:r w:rsidRPr="003673A1">
              <w:t xml:space="preserve"> a proxy card </w:t>
            </w:r>
            <w:r w:rsidRPr="00FD10AE">
              <w:t xml:space="preserve">may confer discretionary authority to vote </w:t>
            </w:r>
            <w:r w:rsidRPr="003673A1">
              <w:t>if</w:t>
            </w:r>
            <w:r w:rsidRPr="00FD10AE">
              <w:t xml:space="preserve"> </w:t>
            </w:r>
            <w:r w:rsidRPr="003673A1">
              <w:t xml:space="preserve">(1) </w:t>
            </w:r>
            <w:r w:rsidRPr="00FD10AE">
              <w:t xml:space="preserve">the </w:t>
            </w:r>
            <w:r w:rsidRPr="003673A1">
              <w:t>company</w:t>
            </w:r>
            <w:r w:rsidRPr="00FD10AE">
              <w:t xml:space="preserve"> did not have notice of the matter at least 45 days before </w:t>
            </w:r>
            <w:r w:rsidRPr="003673A1">
              <w:t xml:space="preserve">(A) </w:t>
            </w:r>
            <w:r w:rsidRPr="00FD10AE">
              <w:t xml:space="preserve">the date on which the </w:t>
            </w:r>
            <w:r w:rsidRPr="003673A1">
              <w:t>company</w:t>
            </w:r>
            <w:r w:rsidRPr="00FD10AE">
              <w:t xml:space="preserve"> first sent its proxy materials for the prior year</w:t>
            </w:r>
            <w:r>
              <w:t>’</w:t>
            </w:r>
            <w:r w:rsidRPr="00FD10AE">
              <w:t xml:space="preserve">s annual meeting of shareholders </w:t>
            </w:r>
            <w:r w:rsidRPr="003673A1">
              <w:t xml:space="preserve">or (B) the </w:t>
            </w:r>
            <w:r w:rsidRPr="00FD10AE">
              <w:t>date specified by an advance notice provision</w:t>
            </w:r>
            <w:r w:rsidRPr="003673A1">
              <w:t xml:space="preserve"> in the company</w:t>
            </w:r>
            <w:r>
              <w:t>’</w:t>
            </w:r>
            <w:r w:rsidRPr="003673A1">
              <w:t xml:space="preserve">s organizational documents and (2) </w:t>
            </w:r>
            <w:r w:rsidRPr="00FD10AE">
              <w:t xml:space="preserve">a specific statement to that effect is made in the proxy statement or </w:t>
            </w:r>
            <w:r w:rsidRPr="003673A1">
              <w:t>proxy card</w:t>
            </w:r>
            <w:r w:rsidRPr="00FD10AE">
              <w:t xml:space="preserve">. </w:t>
            </w:r>
          </w:p>
          <w:p w:rsidR="000459BE" w:rsidP="000459BE" w:rsidRDefault="000459BE" w14:paraId="27596AFF" w14:textId="29C631FD">
            <w:pPr>
              <w:spacing w:after="240"/>
            </w:pPr>
            <w:r w:rsidRPr="00FD10AE">
              <w:t xml:space="preserve">If the </w:t>
            </w:r>
            <w:r>
              <w:t>company</w:t>
            </w:r>
            <w:r w:rsidRPr="00FD10AE">
              <w:t xml:space="preserve"> did not hold an annual meeting</w:t>
            </w:r>
            <w:r w:rsidRPr="003673A1">
              <w:t xml:space="preserve"> </w:t>
            </w:r>
            <w:r w:rsidRPr="00FD10AE">
              <w:t xml:space="preserve">during the prior year, or if the date of the meeting has changed more than 30 days from the prior year, then </w:t>
            </w:r>
            <w:r>
              <w:t xml:space="preserve">the company must not have received such </w:t>
            </w:r>
            <w:r w:rsidRPr="00FD10AE">
              <w:t xml:space="preserve">notice a reasonable time before the </w:t>
            </w:r>
            <w:r>
              <w:t>company</w:t>
            </w:r>
            <w:r w:rsidRPr="00FD10AE">
              <w:t xml:space="preserve"> sends its proxy materials for the current year. </w:t>
            </w:r>
          </w:p>
        </w:tc>
        <w:tc>
          <w:tcPr>
            <w:tcW w:w="931" w:type="pct"/>
            <w:shd w:val="clear" w:color="auto" w:fill="FFFFFF"/>
          </w:tcPr>
          <w:p w:rsidRPr="00414307" w:rsidR="000459BE" w:rsidP="000459BE" w:rsidRDefault="000459BE" w14:paraId="2C6A758E" w14:textId="77777777">
            <w:pPr>
              <w:pStyle w:val="BodyText"/>
              <w:rPr>
                <w:szCs w:val="22"/>
              </w:rPr>
            </w:pPr>
          </w:p>
        </w:tc>
        <w:tc>
          <w:tcPr>
            <w:tcW w:w="561" w:type="pct"/>
            <w:shd w:val="clear" w:color="auto" w:fill="FFFFFF"/>
          </w:tcPr>
          <w:p w:rsidRPr="007E0B55" w:rsidR="000459BE" w:rsidP="000459BE" w:rsidRDefault="000459BE" w14:paraId="0B2C95EA" w14:textId="77777777">
            <w:pPr>
              <w:pStyle w:val="BodyText"/>
              <w:rPr>
                <w:sz w:val="20"/>
              </w:rPr>
            </w:pPr>
          </w:p>
        </w:tc>
        <w:tc>
          <w:tcPr>
            <w:tcW w:w="344" w:type="pct"/>
            <w:shd w:val="clear" w:color="auto" w:fill="FFFFFF"/>
            <w:vAlign w:val="center"/>
          </w:tcPr>
          <w:p w:rsidRPr="00E47B30" w:rsidR="000459BE" w:rsidP="000459BE" w:rsidRDefault="000459BE" w14:paraId="29992B29"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487FF6DE" w14:textId="741986E1">
            <w:pPr>
              <w:spacing w:after="24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264FC4" w14:paraId="538B67B5" w14:textId="77777777">
        <w:trPr>
          <w:cantSplit/>
          <w:jc w:val="center"/>
        </w:trPr>
        <w:tc>
          <w:tcPr>
            <w:tcW w:w="690" w:type="pct"/>
            <w:shd w:val="clear" w:color="auto" w:fill="FFFFFF"/>
          </w:tcPr>
          <w:p w:rsidRPr="00E47B30" w:rsidR="000459BE" w:rsidP="000459BE" w:rsidRDefault="000459BE" w14:paraId="18CD3B6A" w14:textId="77777777">
            <w:pPr>
              <w:pStyle w:val="BodyText"/>
              <w:spacing w:after="120"/>
            </w:pPr>
          </w:p>
        </w:tc>
        <w:tc>
          <w:tcPr>
            <w:tcW w:w="523" w:type="pct"/>
            <w:shd w:val="clear" w:color="auto" w:fill="FFFFFF"/>
          </w:tcPr>
          <w:p w:rsidRPr="00B561EC" w:rsidR="000459BE" w:rsidP="000459BE" w:rsidRDefault="000459BE" w14:paraId="146D10AD" w14:textId="77777777">
            <w:pPr>
              <w:pStyle w:val="BodyText"/>
              <w:spacing w:after="120"/>
              <w:jc w:val="center"/>
            </w:pPr>
          </w:p>
        </w:tc>
        <w:tc>
          <w:tcPr>
            <w:tcW w:w="1951" w:type="pct"/>
            <w:shd w:val="clear" w:color="auto" w:fill="FFFFFF"/>
          </w:tcPr>
          <w:p w:rsidR="000459BE" w:rsidP="000459BE" w:rsidRDefault="000459BE" w14:paraId="2B020640" w14:textId="77777777">
            <w:r>
              <w:t>For an annual meeting, if the company has received timely notice in connection with an annual meeting, a proxy card may confer discretionary authority if the company</w:t>
            </w:r>
            <w:r w:rsidRPr="00FD10AE">
              <w:t xml:space="preserve"> includes in the proxy statement</w:t>
            </w:r>
            <w:r>
              <w:t xml:space="preserve"> disclosure about (1)</w:t>
            </w:r>
            <w:r w:rsidRPr="00FD10AE">
              <w:t xml:space="preserve"> the nature of the matter and </w:t>
            </w:r>
            <w:r>
              <w:t xml:space="preserve">(2) </w:t>
            </w:r>
            <w:r w:rsidRPr="00FD10AE">
              <w:t xml:space="preserve">how the </w:t>
            </w:r>
            <w:r>
              <w:t>company</w:t>
            </w:r>
            <w:r w:rsidRPr="00FD10AE">
              <w:t xml:space="preserve"> intends to exercise its discretion to vote on each matter. </w:t>
            </w:r>
          </w:p>
          <w:p w:rsidRPr="00FD10AE" w:rsidR="000459BE" w:rsidP="000459BE" w:rsidRDefault="000459BE" w14:paraId="07B68A7D" w14:textId="77777777">
            <w:pPr>
              <w:spacing w:after="160" w:line="259" w:lineRule="auto"/>
            </w:pPr>
            <w:r w:rsidRPr="00FD10AE">
              <w:t xml:space="preserve">However, even if the </w:t>
            </w:r>
            <w:r>
              <w:t>company</w:t>
            </w:r>
            <w:r w:rsidRPr="00FD10AE">
              <w:t xml:space="preserve"> includes this information in its proxy statement, it may not exercise discretionary voting authority on a particular proposal if the proponent</w:t>
            </w:r>
            <w:r>
              <w:t>:</w:t>
            </w:r>
          </w:p>
          <w:p w:rsidRPr="00FD10AE" w:rsidR="000459BE" w:rsidP="000459BE" w:rsidRDefault="000459BE" w14:paraId="00EB8A99" w14:textId="3639F1A0">
            <w:pPr>
              <w:pStyle w:val="ListParagraph"/>
            </w:pPr>
            <w:r w:rsidRPr="00FD10AE">
              <w:t xml:space="preserve">Provides the </w:t>
            </w:r>
            <w:r>
              <w:t>company</w:t>
            </w:r>
            <w:r w:rsidRPr="00FD10AE">
              <w:t xml:space="preserve"> with a written statement, within the time-frame determined under </w:t>
            </w:r>
            <w:hyperlink w:history="1" w:anchor="p-240.14a-4(c)(1)" r:id="rId139">
              <w:r>
                <w:rPr>
                  <w:rStyle w:val="Hyperlink"/>
                </w:rPr>
                <w:t xml:space="preserve">Rule </w:t>
              </w:r>
              <w:proofErr w:type="spellStart"/>
              <w:r>
                <w:rPr>
                  <w:rStyle w:val="Hyperlink"/>
                </w:rPr>
                <w:t>14a</w:t>
              </w:r>
              <w:proofErr w:type="spellEnd"/>
              <w:r>
                <w:rPr>
                  <w:rStyle w:val="Hyperlink"/>
                </w:rPr>
                <w:t>-4</w:t>
              </w:r>
              <w:r w:rsidRPr="00FD10AE">
                <w:rPr>
                  <w:rStyle w:val="Hyperlink"/>
                </w:rPr>
                <w:t>(c)(1)</w:t>
              </w:r>
            </w:hyperlink>
            <w:r w:rsidRPr="00FD10AE">
              <w:t xml:space="preserve">, that the proponent intends to deliver a proxy statement and </w:t>
            </w:r>
            <w:r>
              <w:t>proxy card</w:t>
            </w:r>
            <w:r w:rsidRPr="00FD10AE">
              <w:t xml:space="preserve"> to holders of at least the percentage of the company</w:t>
            </w:r>
            <w:r>
              <w:t>’</w:t>
            </w:r>
            <w:r w:rsidRPr="00FD10AE">
              <w:t xml:space="preserve">s voting shares required under applicable law to carry the proposal; </w:t>
            </w:r>
          </w:p>
          <w:p w:rsidRPr="00FD10AE" w:rsidR="000459BE" w:rsidP="000459BE" w:rsidRDefault="000459BE" w14:paraId="6730B0FF" w14:textId="10DF0547">
            <w:pPr>
              <w:pStyle w:val="ListParagraph"/>
            </w:pPr>
            <w:r w:rsidRPr="00FD10AE">
              <w:t xml:space="preserve">Includes the same statement in its proxy materials filed under </w:t>
            </w:r>
            <w:hyperlink w:history="1" r:id="rId140">
              <w:r>
                <w:rPr>
                  <w:rStyle w:val="Hyperlink"/>
                </w:rPr>
                <w:t xml:space="preserve">Rule </w:t>
              </w:r>
              <w:proofErr w:type="spellStart"/>
              <w:r w:rsidRPr="00FD10AE">
                <w:rPr>
                  <w:rStyle w:val="Hyperlink"/>
                </w:rPr>
                <w:t>14a</w:t>
              </w:r>
              <w:proofErr w:type="spellEnd"/>
              <w:r w:rsidRPr="00FD10AE">
                <w:rPr>
                  <w:rStyle w:val="Hyperlink"/>
                </w:rPr>
                <w:t>-6</w:t>
              </w:r>
            </w:hyperlink>
            <w:r w:rsidRPr="00FD10AE">
              <w:t xml:space="preserve">; and </w:t>
            </w:r>
          </w:p>
          <w:p w:rsidRPr="00FD10AE" w:rsidR="000459BE" w:rsidP="000459BE" w:rsidRDefault="000459BE" w14:paraId="5203274A" w14:textId="15FCB02D">
            <w:pPr>
              <w:pStyle w:val="ListParagraph"/>
            </w:pPr>
            <w:r w:rsidRPr="00FD10AE">
              <w:t xml:space="preserve">Immediately after soliciting the percentage of shareholders required to carry the proposal, provides the </w:t>
            </w:r>
            <w:r>
              <w:t>company</w:t>
            </w:r>
            <w:r w:rsidRPr="00FD10AE">
              <w:t xml:space="preserve"> with a statement from any solicitor or other person with knowledge that the necessary steps have been taken to deliver a proxy statement and </w:t>
            </w:r>
            <w:r>
              <w:t>proxy card</w:t>
            </w:r>
            <w:r w:rsidRPr="00FD10AE">
              <w:t xml:space="preserve"> to holders of at least the percentage of the company</w:t>
            </w:r>
            <w:r>
              <w:t>’</w:t>
            </w:r>
            <w:r w:rsidRPr="00FD10AE">
              <w:t xml:space="preserve">s voting shares required under applicable law to carry the proposal. </w:t>
            </w:r>
          </w:p>
          <w:p w:rsidR="000459BE" w:rsidP="000459BE" w:rsidRDefault="000459BE" w14:paraId="3725750B" w14:textId="52C20E3D">
            <w:pPr>
              <w:pStyle w:val="BodyText"/>
            </w:pPr>
            <w:r>
              <w:t>Different requirements for discretionary voting authority apply to</w:t>
            </w:r>
            <w:r w:rsidRPr="00FD10AE">
              <w:t xml:space="preserve"> solicitations other than for annual meetings </w:t>
            </w:r>
            <w:r>
              <w:t>and</w:t>
            </w:r>
            <w:r w:rsidRPr="00FD10AE">
              <w:t xml:space="preserve"> solicitations by persons other than the </w:t>
            </w:r>
            <w:r>
              <w:t>company.</w:t>
            </w:r>
          </w:p>
        </w:tc>
        <w:tc>
          <w:tcPr>
            <w:tcW w:w="931" w:type="pct"/>
            <w:shd w:val="clear" w:color="auto" w:fill="FFFFFF"/>
          </w:tcPr>
          <w:p w:rsidRPr="00414307" w:rsidR="000459BE" w:rsidP="000459BE" w:rsidRDefault="000459BE" w14:paraId="330809AE" w14:textId="77777777">
            <w:pPr>
              <w:pStyle w:val="BodyText"/>
              <w:rPr>
                <w:szCs w:val="22"/>
              </w:rPr>
            </w:pPr>
          </w:p>
        </w:tc>
        <w:tc>
          <w:tcPr>
            <w:tcW w:w="561" w:type="pct"/>
            <w:shd w:val="clear" w:color="auto" w:fill="FFFFFF"/>
          </w:tcPr>
          <w:p w:rsidRPr="007E0B55" w:rsidR="000459BE" w:rsidP="000459BE" w:rsidRDefault="000459BE" w14:paraId="56681427" w14:textId="77777777">
            <w:pPr>
              <w:pStyle w:val="BodyText"/>
              <w:contextualSpacing/>
              <w:rPr>
                <w:sz w:val="20"/>
              </w:rPr>
            </w:pPr>
          </w:p>
        </w:tc>
        <w:tc>
          <w:tcPr>
            <w:tcW w:w="344" w:type="pct"/>
            <w:shd w:val="clear" w:color="auto" w:fill="FFFFFF"/>
            <w:vAlign w:val="center"/>
          </w:tcPr>
          <w:p w:rsidRPr="00E47B30" w:rsidR="000459BE" w:rsidP="000459BE" w:rsidRDefault="000459BE" w14:paraId="12584E6B"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71DA01FE" w14:textId="60C508E7">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r w:rsidRPr="00E47B30" w:rsidR="000459BE" w:rsidTr="00264FC4" w14:paraId="7F94D2AA" w14:textId="77777777">
        <w:trPr>
          <w:cantSplit/>
          <w:jc w:val="center"/>
        </w:trPr>
        <w:tc>
          <w:tcPr>
            <w:tcW w:w="690" w:type="pct"/>
            <w:shd w:val="clear" w:color="auto" w:fill="FFFFFF"/>
          </w:tcPr>
          <w:p w:rsidRPr="00E47B30" w:rsidR="000459BE" w:rsidP="000459BE" w:rsidRDefault="000459BE" w14:paraId="649B4BA4" w14:textId="77777777">
            <w:pPr>
              <w:pStyle w:val="BodyText"/>
              <w:spacing w:after="120"/>
            </w:pPr>
          </w:p>
        </w:tc>
        <w:tc>
          <w:tcPr>
            <w:tcW w:w="523" w:type="pct"/>
            <w:shd w:val="clear" w:color="auto" w:fill="FFFFFF"/>
          </w:tcPr>
          <w:p w:rsidRPr="00B561EC" w:rsidR="000459BE" w:rsidP="000459BE" w:rsidRDefault="000459BE" w14:paraId="34B1C991" w14:textId="77777777">
            <w:pPr>
              <w:pStyle w:val="BodyText"/>
              <w:spacing w:after="120"/>
              <w:jc w:val="center"/>
            </w:pPr>
          </w:p>
        </w:tc>
        <w:tc>
          <w:tcPr>
            <w:tcW w:w="1951" w:type="pct"/>
            <w:shd w:val="clear" w:color="auto" w:fill="FFFFFF"/>
          </w:tcPr>
          <w:p w:rsidRPr="00FD10AE" w:rsidR="000459BE" w:rsidP="000459BE" w:rsidRDefault="000459BE" w14:paraId="1FED0F94" w14:textId="77777777">
            <w:pPr>
              <w:spacing w:after="160" w:line="259" w:lineRule="auto"/>
            </w:pPr>
            <w:r>
              <w:t>No proxy card can</w:t>
            </w:r>
            <w:r w:rsidRPr="00FD10AE">
              <w:t xml:space="preserve"> confer authority</w:t>
            </w:r>
            <w:r>
              <w:t>:</w:t>
            </w:r>
          </w:p>
          <w:p w:rsidRPr="00FD10AE" w:rsidR="000459BE" w:rsidP="000459BE" w:rsidRDefault="000459BE" w14:paraId="647B707D" w14:textId="76A33E73">
            <w:pPr>
              <w:pStyle w:val="ListParagraph"/>
            </w:pPr>
            <w:r>
              <w:t xml:space="preserve">To </w:t>
            </w:r>
            <w:r w:rsidRPr="00FD10AE">
              <w:t>vote for the election of any person to any office for which a bona fide nominee is not named in the proxy statement</w:t>
            </w:r>
            <w:r>
              <w:t>.</w:t>
            </w:r>
            <w:r w:rsidRPr="00FD10AE">
              <w:t xml:space="preserve"> A person shall not be deemed to be a bona fide nominee and shall not be named as such unless the person has consented to being named in a proxy statement relating to the </w:t>
            </w:r>
            <w:r>
              <w:t>company’</w:t>
            </w:r>
            <w:r w:rsidRPr="00FD10AE">
              <w:t xml:space="preserve">s next annual meeting of shareholders at which directors are to be elected (or a special meeting in lieu of such meeting) and to serve if elected. </w:t>
            </w:r>
          </w:p>
          <w:p w:rsidRPr="00FD10AE" w:rsidR="000459BE" w:rsidP="000459BE" w:rsidRDefault="000459BE" w14:paraId="6E974F70" w14:textId="77777777">
            <w:pPr>
              <w:pStyle w:val="ListParagraph"/>
            </w:pPr>
            <w:r>
              <w:t xml:space="preserve">To </w:t>
            </w:r>
            <w:r w:rsidRPr="00FD10AE">
              <w:t xml:space="preserve">vote at any annual meeting other than the next annual meeting (or any adjournment thereof) to be held after the date on which the proxy statement and </w:t>
            </w:r>
            <w:r>
              <w:t>proxy card</w:t>
            </w:r>
            <w:r w:rsidRPr="00FD10AE">
              <w:t xml:space="preserve"> are first sent or given to security holders; </w:t>
            </w:r>
          </w:p>
          <w:p w:rsidR="000459BE" w:rsidP="000459BE" w:rsidRDefault="000459BE" w14:paraId="3DCF6856" w14:textId="77777777">
            <w:pPr>
              <w:pStyle w:val="ListParagraph"/>
            </w:pPr>
            <w:r w:rsidRPr="00FD10AE">
              <w:t>To vote with respect to more than one meeting (and any adjournment thereof) or more than one consent solicitation; or</w:t>
            </w:r>
          </w:p>
          <w:p w:rsidR="000459BE" w:rsidP="000459BE" w:rsidRDefault="000459BE" w14:paraId="238E843D" w14:textId="0A22526C">
            <w:pPr>
              <w:pStyle w:val="ListParagraph"/>
            </w:pPr>
            <w:r w:rsidRPr="00FD10AE">
              <w:t xml:space="preserve">To consent to or authorize any action other than the action proposed to be taken in the proxy statement, or matters referred to in </w:t>
            </w:r>
            <w:hyperlink w:history="1" w:anchor="p-240.14a-4(c)" r:id="rId141">
              <w:r>
                <w:rPr>
                  <w:rStyle w:val="Hyperlink"/>
                </w:rPr>
                <w:t xml:space="preserve">Rule </w:t>
              </w:r>
              <w:proofErr w:type="spellStart"/>
              <w:r>
                <w:rPr>
                  <w:rStyle w:val="Hyperlink"/>
                </w:rPr>
                <w:t>14a</w:t>
              </w:r>
              <w:proofErr w:type="spellEnd"/>
              <w:r>
                <w:rPr>
                  <w:rStyle w:val="Hyperlink"/>
                </w:rPr>
                <w:t>-4</w:t>
              </w:r>
              <w:r w:rsidRPr="00FD10AE">
                <w:rPr>
                  <w:rStyle w:val="Hyperlink"/>
                </w:rPr>
                <w:t>(c)</w:t>
              </w:r>
            </w:hyperlink>
            <w:r w:rsidRPr="00FD10AE">
              <w:t xml:space="preserve">. </w:t>
            </w:r>
          </w:p>
        </w:tc>
        <w:tc>
          <w:tcPr>
            <w:tcW w:w="931" w:type="pct"/>
            <w:shd w:val="clear" w:color="auto" w:fill="FFFFFF"/>
          </w:tcPr>
          <w:p w:rsidRPr="00414307" w:rsidR="000459BE" w:rsidP="000459BE" w:rsidRDefault="000459BE" w14:paraId="2D73D35B" w14:textId="77777777">
            <w:pPr>
              <w:pStyle w:val="BodyText"/>
              <w:rPr>
                <w:szCs w:val="22"/>
              </w:rPr>
            </w:pPr>
          </w:p>
        </w:tc>
        <w:tc>
          <w:tcPr>
            <w:tcW w:w="561" w:type="pct"/>
            <w:shd w:val="clear" w:color="auto" w:fill="FFFFFF"/>
          </w:tcPr>
          <w:p w:rsidRPr="007E0B55" w:rsidR="000459BE" w:rsidP="000459BE" w:rsidRDefault="000459BE" w14:paraId="4F801091" w14:textId="77777777">
            <w:pPr>
              <w:pStyle w:val="BodyText"/>
              <w:contextualSpacing/>
              <w:rPr>
                <w:sz w:val="20"/>
              </w:rPr>
            </w:pPr>
          </w:p>
        </w:tc>
        <w:tc>
          <w:tcPr>
            <w:tcW w:w="344" w:type="pct"/>
            <w:shd w:val="clear" w:color="auto" w:fill="FFFFFF"/>
            <w:vAlign w:val="center"/>
          </w:tcPr>
          <w:p w:rsidRPr="00E47B30" w:rsidR="000459BE" w:rsidP="000459BE" w:rsidRDefault="000459BE" w14:paraId="01F3824E" w14:textId="77777777">
            <w:pPr>
              <w:spacing w:after="0"/>
              <w:jc w:val="center"/>
              <w:rPr>
                <w:szCs w:val="22"/>
              </w:rPr>
            </w:pPr>
            <w:r w:rsidRPr="00E47B30">
              <w:rPr>
                <w:szCs w:val="22"/>
              </w:rPr>
              <w:t xml:space="preserve">Yes </w:t>
            </w:r>
            <w:r w:rsidRPr="00E47B30">
              <w:rPr>
                <w:rFonts w:ascii="Segoe UI Symbol" w:hAnsi="Segoe UI Symbol" w:eastAsia="MS Gothic" w:cs="Segoe UI Symbol"/>
                <w:szCs w:val="22"/>
              </w:rPr>
              <w:t>☐</w:t>
            </w:r>
          </w:p>
          <w:p w:rsidRPr="00E47B30" w:rsidR="000459BE" w:rsidP="000459BE" w:rsidRDefault="000459BE" w14:paraId="7F086197" w14:textId="75DA8B87">
            <w:pPr>
              <w:spacing w:after="0"/>
              <w:jc w:val="center"/>
              <w:rPr>
                <w:szCs w:val="22"/>
              </w:rPr>
            </w:pPr>
            <w:r w:rsidRPr="00E47B30">
              <w:rPr>
                <w:szCs w:val="22"/>
              </w:rPr>
              <w:t xml:space="preserve">No  </w:t>
            </w:r>
            <w:r w:rsidRPr="00E47B30">
              <w:rPr>
                <w:rFonts w:ascii="Segoe UI Symbol" w:hAnsi="Segoe UI Symbol" w:eastAsia="MS Gothic" w:cs="Segoe UI Symbol"/>
                <w:szCs w:val="22"/>
              </w:rPr>
              <w:t>☐</w:t>
            </w:r>
          </w:p>
        </w:tc>
      </w:tr>
    </w:tbl>
    <w:p w:rsidR="003A4AF7" w:rsidP="006B1804" w:rsidRDefault="003A4AF7" w14:paraId="6F37121F" w14:textId="1D4DB417"/>
    <w:p w:rsidRPr="00732309" w:rsidR="006B1804" w:rsidRDefault="006B1804" w14:paraId="49028C3B" w14:textId="77777777">
      <w:pPr>
        <w:autoSpaceDE w:val="0"/>
        <w:autoSpaceDN w:val="0"/>
        <w:adjustRightInd w:val="0"/>
      </w:pPr>
    </w:p>
    <w:p w:rsidRPr="00732309" w:rsidR="003A4AF7" w:rsidRDefault="003A4AF7" w14:paraId="71B905BD" w14:textId="77777777">
      <w:pPr>
        <w:autoSpaceDE w:val="0"/>
        <w:autoSpaceDN w:val="0"/>
        <w:adjustRightInd w:val="0"/>
        <w:sectPr w:rsidRPr="00732309" w:rsidR="003A4AF7" w:rsidSect="000A2138">
          <w:headerReference w:type="default" r:id="rId142"/>
          <w:footerReference w:type="default" r:id="rId143"/>
          <w:headerReference w:type="first" r:id="rId144"/>
          <w:footerReference w:type="first" r:id="rId145"/>
          <w:footnotePr>
            <w:numRestart w:val="eachSect"/>
          </w:footnotePr>
          <w:type w:val="continuous"/>
          <w:pgSz w:w="15840" w:h="12240" w:orient="landscape" w:code="1"/>
          <w:pgMar w:top="720" w:right="720" w:bottom="432" w:left="720" w:header="720" w:footer="288" w:gutter="0"/>
          <w:cols w:space="720"/>
          <w:titlePg/>
          <w:docGrid w:linePitch="360"/>
        </w:sectPr>
      </w:pPr>
    </w:p>
    <w:p w:rsidRPr="00D833EC" w:rsidR="003A4AF7" w:rsidP="00D833EC" w:rsidRDefault="00713E62" w14:paraId="76C92E26" w14:textId="77777777">
      <w:pPr>
        <w:spacing w:after="0"/>
        <w:jc w:val="center"/>
        <w:rPr>
          <w:b/>
          <w:caps/>
          <w:szCs w:val="22"/>
        </w:rPr>
      </w:pPr>
      <w:r w:rsidRPr="00D833EC">
        <w:rPr>
          <w:b/>
          <w:caps/>
          <w:szCs w:val="22"/>
        </w:rPr>
        <w:lastRenderedPageBreak/>
        <w:t>Appendix 1</w:t>
      </w:r>
    </w:p>
    <w:p w:rsidRPr="00D833EC" w:rsidR="003A4AF7" w:rsidP="00D833EC" w:rsidRDefault="00713E62" w14:paraId="1EFC6B62" w14:textId="77777777">
      <w:pPr>
        <w:spacing w:after="0"/>
        <w:jc w:val="center"/>
        <w:rPr>
          <w:b/>
          <w:caps/>
          <w:szCs w:val="22"/>
        </w:rPr>
      </w:pPr>
      <w:r w:rsidRPr="00D833EC">
        <w:rPr>
          <w:b/>
          <w:caps/>
          <w:szCs w:val="22"/>
        </w:rPr>
        <w:t>Summary Requirements for Notice of Internet Availability</w:t>
      </w:r>
    </w:p>
    <w:p w:rsidRPr="00732309" w:rsidR="003A4AF7" w:rsidP="00D833EC" w:rsidRDefault="00713E62" w14:paraId="54B04094" w14:textId="77777777">
      <w:pPr>
        <w:spacing w:after="0"/>
        <w:jc w:val="center"/>
        <w:rPr>
          <w:b/>
          <w:caps/>
          <w:sz w:val="26"/>
          <w:szCs w:val="26"/>
        </w:rPr>
      </w:pPr>
      <w:r w:rsidRPr="00D833EC">
        <w:rPr>
          <w:b/>
          <w:caps/>
          <w:szCs w:val="22"/>
          <w:u w:val="single"/>
        </w:rPr>
        <w:t>(Notice AND Access Model)</w:t>
      </w:r>
    </w:p>
    <w:p w:rsidRPr="00732309" w:rsidR="003A4AF7" w:rsidRDefault="003A4AF7" w14:paraId="08AA4D87" w14:textId="77777777">
      <w:pPr>
        <w:jc w:val="center"/>
        <w:rPr>
          <w:szCs w:val="22"/>
        </w:rPr>
      </w:pPr>
    </w:p>
    <w:p w:rsidRPr="00732309" w:rsidR="003A4AF7" w:rsidRDefault="00713E62" w14:paraId="086CECC4" w14:textId="77777777">
      <w:pPr>
        <w:rPr>
          <w:szCs w:val="22"/>
        </w:rPr>
      </w:pPr>
      <w:r w:rsidRPr="00732309">
        <w:rPr>
          <w:i/>
          <w:szCs w:val="22"/>
        </w:rPr>
        <w:t>This document summarizes the requirements applicable to a Notice of Internet Availability under the notice and access model.</w:t>
      </w:r>
      <w:r w:rsidR="00E55F7F">
        <w:rPr>
          <w:i/>
          <w:szCs w:val="22"/>
        </w:rPr>
        <w:t xml:space="preserve"> </w:t>
      </w:r>
      <w:r w:rsidRPr="00732309">
        <w:rPr>
          <w:i/>
          <w:szCs w:val="22"/>
        </w:rPr>
        <w:t>Companies should consult their regular Goodwin Procter attorney for additional information concerning the contents of the Notice of Internet Availability.</w:t>
      </w:r>
    </w:p>
    <w:p w:rsidRPr="00732309" w:rsidR="003A4AF7" w:rsidRDefault="00713E62" w14:paraId="56BF79A5" w14:textId="77777777">
      <w:pPr>
        <w:rPr>
          <w:szCs w:val="22"/>
        </w:rPr>
      </w:pPr>
      <w:r w:rsidRPr="00732309">
        <w:rPr>
          <w:b/>
          <w:i/>
          <w:szCs w:val="22"/>
        </w:rPr>
        <w:t>Content of Notice</w:t>
      </w:r>
      <w:r w:rsidRPr="00732309">
        <w:rPr>
          <w:szCs w:val="22"/>
        </w:rPr>
        <w:t>.</w:t>
      </w:r>
      <w:r w:rsidR="00E55F7F">
        <w:rPr>
          <w:szCs w:val="22"/>
        </w:rPr>
        <w:t xml:space="preserve"> </w:t>
      </w:r>
      <w:r w:rsidRPr="00732309">
        <w:rPr>
          <w:szCs w:val="22"/>
        </w:rPr>
        <w:t>The Notice of Internet Availability must contain the following</w:t>
      </w:r>
      <w:r>
        <w:rPr>
          <w:rStyle w:val="FootnoteReference"/>
          <w:szCs w:val="22"/>
        </w:rPr>
        <w:footnoteReference w:id="1"/>
      </w:r>
      <w:r w:rsidRPr="00732309">
        <w:rPr>
          <w:szCs w:val="22"/>
        </w:rPr>
        <w:t>:</w:t>
      </w:r>
    </w:p>
    <w:p w:rsidRPr="00732309" w:rsidR="003A4AF7" w:rsidRDefault="00713E62" w14:paraId="66573F0B" w14:textId="77777777">
      <w:pPr>
        <w:pStyle w:val="ListNumber"/>
        <w:rPr>
          <w:szCs w:val="22"/>
        </w:rPr>
      </w:pPr>
      <w:r w:rsidRPr="00732309">
        <w:rPr>
          <w:szCs w:val="22"/>
        </w:rPr>
        <w:t>A prominent legend in bold-face type in exactly the following form:</w:t>
      </w:r>
    </w:p>
    <w:p w:rsidRPr="00732309" w:rsidR="003A4AF7" w:rsidRDefault="00713E62" w14:paraId="3C1A7EEF" w14:textId="77777777">
      <w:pPr>
        <w:autoSpaceDE w:val="0"/>
        <w:autoSpaceDN w:val="0"/>
        <w:adjustRightInd w:val="0"/>
        <w:spacing w:before="100" w:after="240"/>
        <w:ind w:left="1440"/>
        <w:rPr>
          <w:b/>
          <w:szCs w:val="22"/>
        </w:rPr>
      </w:pPr>
      <w:r w:rsidRPr="00732309">
        <w:rPr>
          <w:b/>
          <w:szCs w:val="22"/>
        </w:rPr>
        <w:t xml:space="preserve">Important Notice Regarding the Availability of Proxy Materials for the Shareholder Meeting </w:t>
      </w:r>
      <w:r w:rsidRPr="00732309" w:rsidR="00401FBE">
        <w:rPr>
          <w:b/>
          <w:szCs w:val="22"/>
        </w:rPr>
        <w:t>to</w:t>
      </w:r>
      <w:r w:rsidRPr="00732309">
        <w:rPr>
          <w:b/>
          <w:szCs w:val="22"/>
        </w:rPr>
        <w:t xml:space="preserve"> Be Held on [insert meeting date]</w:t>
      </w:r>
    </w:p>
    <w:p w:rsidRPr="00732309" w:rsidR="003A4AF7" w:rsidRDefault="00713E62" w14:paraId="5F846CEA" w14:textId="77777777">
      <w:pPr>
        <w:pStyle w:val="ListNumber"/>
        <w:rPr>
          <w:szCs w:val="22"/>
        </w:rPr>
      </w:pPr>
      <w:r w:rsidRPr="00732309">
        <w:rPr>
          <w:szCs w:val="22"/>
        </w:rPr>
        <w:t xml:space="preserve">Address the topics below, which does </w:t>
      </w:r>
      <w:r w:rsidRPr="00732309">
        <w:rPr>
          <w:b/>
          <w:szCs w:val="22"/>
        </w:rPr>
        <w:t>not</w:t>
      </w:r>
      <w:r w:rsidRPr="00732309">
        <w:rPr>
          <w:szCs w:val="22"/>
        </w:rPr>
        <w:t xml:space="preserve"> need to be in exactly the form(s) below:</w:t>
      </w:r>
    </w:p>
    <w:p w:rsidRPr="00732309" w:rsidR="003A4AF7" w:rsidP="00E03C67" w:rsidRDefault="00713E62" w14:paraId="765341E5" w14:textId="77777777">
      <w:pPr>
        <w:numPr>
          <w:ilvl w:val="0"/>
          <w:numId w:val="11"/>
        </w:numPr>
        <w:autoSpaceDE w:val="0"/>
        <w:autoSpaceDN w:val="0"/>
        <w:adjustRightInd w:val="0"/>
        <w:spacing w:before="100" w:after="240"/>
        <w:rPr>
          <w:szCs w:val="22"/>
        </w:rPr>
      </w:pPr>
      <w:r w:rsidRPr="00732309">
        <w:rPr>
          <w:szCs w:val="22"/>
        </w:rPr>
        <w:t>This communication is not a form for voting and presents only an overview of the more complete proxy materials, which contain important information and are available to you on the Internet or by mail.</w:t>
      </w:r>
      <w:r w:rsidR="00E55F7F">
        <w:rPr>
          <w:szCs w:val="22"/>
        </w:rPr>
        <w:t xml:space="preserve"> </w:t>
      </w:r>
      <w:r w:rsidRPr="00732309">
        <w:rPr>
          <w:szCs w:val="22"/>
        </w:rPr>
        <w:t>We encourage you to access and review the proxy materials before voting.</w:t>
      </w:r>
    </w:p>
    <w:p w:rsidRPr="00732309" w:rsidR="003A4AF7" w:rsidP="00E03C67" w:rsidRDefault="00713E62" w14:paraId="7313D5D0" w14:textId="77777777">
      <w:pPr>
        <w:numPr>
          <w:ilvl w:val="0"/>
          <w:numId w:val="11"/>
        </w:numPr>
        <w:autoSpaceDE w:val="0"/>
        <w:autoSpaceDN w:val="0"/>
        <w:adjustRightInd w:val="0"/>
        <w:spacing w:before="100" w:after="240"/>
        <w:rPr>
          <w:szCs w:val="22"/>
        </w:rPr>
      </w:pPr>
      <w:r w:rsidRPr="00732309">
        <w:rPr>
          <w:szCs w:val="22"/>
        </w:rPr>
        <w:t>The proxy materials are available at [insert website address]</w:t>
      </w:r>
      <w:r>
        <w:rPr>
          <w:rStyle w:val="FootnoteReference"/>
          <w:szCs w:val="22"/>
        </w:rPr>
        <w:footnoteReference w:id="2"/>
      </w:r>
    </w:p>
    <w:p w:rsidRPr="00732309" w:rsidR="003A4AF7" w:rsidP="00E03C67" w:rsidRDefault="00713E62" w14:paraId="73A17EFB" w14:textId="77777777">
      <w:pPr>
        <w:numPr>
          <w:ilvl w:val="0"/>
          <w:numId w:val="11"/>
        </w:numPr>
        <w:autoSpaceDE w:val="0"/>
        <w:autoSpaceDN w:val="0"/>
        <w:adjustRightInd w:val="0"/>
        <w:spacing w:before="100" w:after="240"/>
        <w:rPr>
          <w:szCs w:val="22"/>
        </w:rPr>
      </w:pPr>
      <w:r w:rsidRPr="00732309">
        <w:rPr>
          <w:szCs w:val="22"/>
        </w:rPr>
        <w:t>If you want to receive a paper or email copy of the proxy materials, you must request a copy as specified in the instructions below.</w:t>
      </w:r>
      <w:r w:rsidR="00E55F7F">
        <w:rPr>
          <w:szCs w:val="22"/>
        </w:rPr>
        <w:t xml:space="preserve"> </w:t>
      </w:r>
      <w:r w:rsidRPr="00732309">
        <w:rPr>
          <w:szCs w:val="22"/>
        </w:rPr>
        <w:t>If you do not, you will not otherwise receive a paper or email copy. There is no charge to you for requesting a copy.</w:t>
      </w:r>
      <w:r w:rsidR="00E55F7F">
        <w:rPr>
          <w:szCs w:val="22"/>
        </w:rPr>
        <w:t xml:space="preserve"> </w:t>
      </w:r>
      <w:r w:rsidRPr="00732309">
        <w:rPr>
          <w:szCs w:val="22"/>
        </w:rPr>
        <w:t>Please make your request for a copy as instructed below on or before [insert a date] to facilitate timely delivery.</w:t>
      </w:r>
    </w:p>
    <w:p w:rsidRPr="00732309" w:rsidR="003A4AF7" w:rsidP="00E03C67" w:rsidRDefault="00713E62" w14:paraId="159152D4" w14:textId="77777777">
      <w:pPr>
        <w:numPr>
          <w:ilvl w:val="0"/>
          <w:numId w:val="11"/>
        </w:numPr>
        <w:autoSpaceDE w:val="0"/>
        <w:autoSpaceDN w:val="0"/>
        <w:adjustRightInd w:val="0"/>
        <w:spacing w:before="100" w:after="240"/>
        <w:rPr>
          <w:szCs w:val="22"/>
        </w:rPr>
      </w:pPr>
      <w:r w:rsidRPr="00732309">
        <w:rPr>
          <w:szCs w:val="22"/>
        </w:rPr>
        <w:t>The date, time, and location of the meeting, or if corporate action is to be taken by written consent, the earliest date on which the corporate action may be effected</w:t>
      </w:r>
    </w:p>
    <w:p w:rsidRPr="00732309" w:rsidR="003A4AF7" w:rsidP="00E03C67" w:rsidRDefault="00713E62" w14:paraId="03235B5F" w14:textId="5CC8040A">
      <w:pPr>
        <w:numPr>
          <w:ilvl w:val="0"/>
          <w:numId w:val="11"/>
        </w:numPr>
        <w:autoSpaceDE w:val="0"/>
        <w:autoSpaceDN w:val="0"/>
        <w:adjustRightInd w:val="0"/>
        <w:spacing w:before="100" w:after="240"/>
        <w:rPr>
          <w:szCs w:val="22"/>
        </w:rPr>
      </w:pPr>
      <w:r w:rsidRPr="00732309">
        <w:rPr>
          <w:szCs w:val="22"/>
        </w:rPr>
        <w:t>A clear and impartial identification of each separate matter intended to be acted on and the soliciting person</w:t>
      </w:r>
      <w:r w:rsidR="00113572">
        <w:rPr>
          <w:szCs w:val="22"/>
        </w:rPr>
        <w:t>’</w:t>
      </w:r>
      <w:r w:rsidR="00B86714">
        <w:rPr>
          <w:szCs w:val="22"/>
        </w:rPr>
        <w:t>s</w:t>
      </w:r>
      <w:r w:rsidRPr="00732309">
        <w:rPr>
          <w:szCs w:val="22"/>
        </w:rPr>
        <w:t xml:space="preserve"> recommendations, if any, regarding those matters, but no supporting statements</w:t>
      </w:r>
    </w:p>
    <w:p w:rsidRPr="00732309" w:rsidR="003A4AF7" w:rsidP="000A2138" w:rsidRDefault="00713E62" w14:paraId="7E750281" w14:textId="77777777">
      <w:pPr>
        <w:numPr>
          <w:ilvl w:val="0"/>
          <w:numId w:val="11"/>
        </w:numPr>
        <w:autoSpaceDE w:val="0"/>
        <w:autoSpaceDN w:val="0"/>
        <w:adjustRightInd w:val="0"/>
        <w:spacing w:before="100"/>
        <w:rPr>
          <w:szCs w:val="22"/>
        </w:rPr>
      </w:pPr>
      <w:r w:rsidRPr="00732309">
        <w:rPr>
          <w:szCs w:val="22"/>
        </w:rPr>
        <w:t>A list of the materials being made available at the specified website</w:t>
      </w:r>
    </w:p>
    <w:p w:rsidRPr="00732309" w:rsidR="003A4AF7" w:rsidRDefault="00713E62" w14:paraId="69EE1B81" w14:textId="10FD6776">
      <w:pPr>
        <w:pStyle w:val="ListNumber"/>
        <w:numPr>
          <w:ilvl w:val="0"/>
          <w:numId w:val="0"/>
        </w:numPr>
        <w:rPr>
          <w:szCs w:val="22"/>
        </w:rPr>
      </w:pPr>
      <w:r w:rsidRPr="00732309">
        <w:rPr>
          <w:szCs w:val="22"/>
        </w:rPr>
        <w:t>A toll-free telephone number, an e-mail address, and an Internet website where the security holder can request a copy of the proxy statement, annual report to security holders, and form of proxy, relating to all of the company</w:t>
      </w:r>
      <w:r w:rsidR="00113572">
        <w:rPr>
          <w:szCs w:val="22"/>
        </w:rPr>
        <w:t>’</w:t>
      </w:r>
      <w:r w:rsidR="00B86714">
        <w:rPr>
          <w:szCs w:val="22"/>
        </w:rPr>
        <w:t>s</w:t>
      </w:r>
      <w:r w:rsidRPr="00732309">
        <w:rPr>
          <w:szCs w:val="22"/>
        </w:rPr>
        <w:t xml:space="preserve"> future security holder meetings and for the particular meeting to which the proxy materials being furnished relate</w:t>
      </w:r>
    </w:p>
    <w:p w:rsidRPr="00732309" w:rsidR="003A4AF7" w:rsidRDefault="00713E62" w14:paraId="6EA21261" w14:textId="77777777">
      <w:pPr>
        <w:pStyle w:val="ListNumber"/>
        <w:numPr>
          <w:ilvl w:val="0"/>
          <w:numId w:val="0"/>
        </w:numPr>
        <w:rPr>
          <w:szCs w:val="22"/>
        </w:rPr>
      </w:pPr>
      <w:r w:rsidRPr="00732309">
        <w:rPr>
          <w:szCs w:val="22"/>
        </w:rPr>
        <w:t>Any control/identification numbers that the security holder needs to access his or her form of proxy</w:t>
      </w:r>
      <w:r>
        <w:rPr>
          <w:szCs w:val="22"/>
          <w:vertAlign w:val="superscript"/>
        </w:rPr>
        <w:footnoteReference w:id="3"/>
      </w:r>
    </w:p>
    <w:p w:rsidRPr="00732309" w:rsidR="003A4AF7" w:rsidRDefault="00713E62" w14:paraId="7C88CD2C" w14:textId="77777777">
      <w:pPr>
        <w:pStyle w:val="ListNumber"/>
        <w:numPr>
          <w:ilvl w:val="0"/>
          <w:numId w:val="0"/>
        </w:numPr>
        <w:rPr>
          <w:szCs w:val="22"/>
        </w:rPr>
      </w:pPr>
      <w:r w:rsidRPr="00732309">
        <w:rPr>
          <w:szCs w:val="22"/>
        </w:rPr>
        <w:t>Instructions on how to access the form of proxy, provided that such instructions do not enable a security holder to execute a proxy without having access to the proxy statement and, for annual meetings, the annual report to security holders</w:t>
      </w:r>
    </w:p>
    <w:p w:rsidRPr="00732309" w:rsidR="003A4AF7" w:rsidRDefault="00713E62" w14:paraId="273407D3" w14:textId="77777777">
      <w:pPr>
        <w:pStyle w:val="ListNumber"/>
        <w:numPr>
          <w:ilvl w:val="0"/>
          <w:numId w:val="0"/>
        </w:numPr>
        <w:rPr>
          <w:szCs w:val="22"/>
        </w:rPr>
      </w:pPr>
      <w:r w:rsidRPr="00732309">
        <w:rPr>
          <w:szCs w:val="22"/>
        </w:rPr>
        <w:lastRenderedPageBreak/>
        <w:t>Information on how to obtain directions to be able to attend the meeting and vote in person</w:t>
      </w:r>
    </w:p>
    <w:p w:rsidRPr="00732309" w:rsidR="003A4AF7" w:rsidRDefault="00713E62" w14:paraId="121CE06E" w14:textId="77777777">
      <w:pPr>
        <w:rPr>
          <w:szCs w:val="22"/>
        </w:rPr>
      </w:pPr>
      <w:r w:rsidRPr="00732309">
        <w:rPr>
          <w:szCs w:val="22"/>
        </w:rPr>
        <w:t>The Notice of Internet Availability may also contain any additional information required to be included in a notice of stockholders meeting under state law and a statement to educate security holders that no personal information other than the identification or control number is necessary to execute a proxy.</w:t>
      </w:r>
    </w:p>
    <w:p w:rsidRPr="00732309" w:rsidR="003A4AF7" w:rsidRDefault="00713E62" w14:paraId="7278BBF8" w14:textId="30A3C950">
      <w:pPr>
        <w:rPr>
          <w:szCs w:val="22"/>
        </w:rPr>
      </w:pPr>
      <w:r w:rsidRPr="00732309">
        <w:rPr>
          <w:szCs w:val="22"/>
        </w:rPr>
        <w:t>In addition, the Notice of Internet Availability may contain an explanation of the reasons for the company</w:t>
      </w:r>
      <w:r w:rsidR="00113572">
        <w:rPr>
          <w:szCs w:val="22"/>
        </w:rPr>
        <w:t>’</w:t>
      </w:r>
      <w:r w:rsidR="00B86714">
        <w:rPr>
          <w:szCs w:val="22"/>
        </w:rPr>
        <w:t>s</w:t>
      </w:r>
      <w:r w:rsidRPr="00732309">
        <w:rPr>
          <w:szCs w:val="22"/>
        </w:rPr>
        <w:t xml:space="preserve"> use of the SEC</w:t>
      </w:r>
      <w:r w:rsidR="00113572">
        <w:rPr>
          <w:szCs w:val="22"/>
        </w:rPr>
        <w:t>’</w:t>
      </w:r>
      <w:r w:rsidR="00B86714">
        <w:rPr>
          <w:szCs w:val="22"/>
        </w:rPr>
        <w:t>s</w:t>
      </w:r>
      <w:r w:rsidRPr="00732309">
        <w:rPr>
          <w:szCs w:val="22"/>
        </w:rPr>
        <w:t xml:space="preserve"> electronic proxy solicitation rules and the process for the shareholders</w:t>
      </w:r>
      <w:r w:rsidR="00113572">
        <w:rPr>
          <w:szCs w:val="22"/>
        </w:rPr>
        <w:t>’</w:t>
      </w:r>
      <w:r w:rsidRPr="00732309">
        <w:rPr>
          <w:szCs w:val="22"/>
        </w:rPr>
        <w:t xml:space="preserve"> receiving and reviewing the proxy materials and voting.</w:t>
      </w:r>
      <w:r w:rsidR="00E55F7F">
        <w:rPr>
          <w:szCs w:val="22"/>
        </w:rPr>
        <w:t xml:space="preserve"> </w:t>
      </w:r>
      <w:r w:rsidRPr="00732309">
        <w:rPr>
          <w:szCs w:val="22"/>
        </w:rPr>
        <w:t>The explanation cannot include any materials designed to persuade shareholders to vote in any particular manner, change the method or delivery or explain the basis for sending only a Notice of Internet Availability to shareholders.</w:t>
      </w:r>
    </w:p>
    <w:p w:rsidRPr="00732309" w:rsidR="003A4AF7" w:rsidRDefault="00713E62" w14:paraId="772501D1" w14:textId="01A91895">
      <w:pPr>
        <w:rPr>
          <w:szCs w:val="22"/>
        </w:rPr>
      </w:pPr>
      <w:r w:rsidRPr="00732309">
        <w:rPr>
          <w:szCs w:val="22"/>
        </w:rPr>
        <w:t>SEC rules do not require the Notice of Internet Availability to directly mirror the form or content of the proxy card.</w:t>
      </w:r>
      <w:r w:rsidR="00E55F7F">
        <w:rPr>
          <w:szCs w:val="22"/>
        </w:rPr>
        <w:t xml:space="preserve"> </w:t>
      </w:r>
      <w:r w:rsidRPr="00732309">
        <w:rPr>
          <w:szCs w:val="22"/>
        </w:rPr>
        <w:t xml:space="preserve">The rules require only that the Notice of Internet Availability </w:t>
      </w:r>
      <w:r w:rsidR="00113572">
        <w:rPr>
          <w:szCs w:val="22"/>
        </w:rPr>
        <w:t>“</w:t>
      </w:r>
      <w:r w:rsidRPr="00732309">
        <w:rPr>
          <w:szCs w:val="22"/>
        </w:rPr>
        <w:t>identify each matter that will be considered at the meeting.</w:t>
      </w:r>
      <w:r w:rsidR="00113572">
        <w:rPr>
          <w:szCs w:val="22"/>
        </w:rPr>
        <w:t>”</w:t>
      </w:r>
    </w:p>
    <w:p w:rsidRPr="00732309" w:rsidR="003A4AF7" w:rsidRDefault="00713E62" w14:paraId="2B98315C" w14:textId="77777777">
      <w:pPr>
        <w:rPr>
          <w:szCs w:val="22"/>
        </w:rPr>
      </w:pPr>
      <w:r w:rsidRPr="00732309">
        <w:rPr>
          <w:szCs w:val="22"/>
        </w:rPr>
        <w:t>The design of the Notice of Internet Availability may include pictures, logos, or similar design elements so long as the design is not misleading and the required information is clear.</w:t>
      </w:r>
    </w:p>
    <w:p w:rsidRPr="00732309" w:rsidR="003A4AF7" w:rsidRDefault="00713E62" w14:paraId="08AA604E" w14:textId="77777777">
      <w:pPr>
        <w:autoSpaceDE w:val="0"/>
        <w:autoSpaceDN w:val="0"/>
        <w:adjustRightInd w:val="0"/>
        <w:spacing w:before="100" w:after="100"/>
        <w:rPr>
          <w:szCs w:val="22"/>
        </w:rPr>
      </w:pPr>
      <w:r w:rsidRPr="00732309">
        <w:rPr>
          <w:b/>
          <w:i/>
          <w:szCs w:val="22"/>
        </w:rPr>
        <w:t>Distribution of Notice</w:t>
      </w:r>
      <w:r w:rsidRPr="00732309">
        <w:rPr>
          <w:szCs w:val="22"/>
        </w:rPr>
        <w:t>.</w:t>
      </w:r>
      <w:r w:rsidR="00E55F7F">
        <w:rPr>
          <w:b/>
          <w:i/>
          <w:szCs w:val="22"/>
        </w:rPr>
        <w:t xml:space="preserve"> </w:t>
      </w:r>
      <w:r w:rsidRPr="00732309">
        <w:rPr>
          <w:szCs w:val="22"/>
        </w:rPr>
        <w:t>The Notice of Internet Availability must be sent separately from other types of security holder communications and may not accompany any other document or materials, including the form of proxy, except that:</w:t>
      </w:r>
    </w:p>
    <w:p w:rsidRPr="00732309" w:rsidR="003A4AF7" w:rsidP="00E03C67" w:rsidRDefault="00713E62" w14:paraId="0B3D4790" w14:textId="77777777">
      <w:pPr>
        <w:numPr>
          <w:ilvl w:val="0"/>
          <w:numId w:val="16"/>
        </w:numPr>
        <w:autoSpaceDE w:val="0"/>
        <w:autoSpaceDN w:val="0"/>
        <w:adjustRightInd w:val="0"/>
        <w:spacing w:before="100" w:after="100"/>
        <w:rPr>
          <w:szCs w:val="22"/>
        </w:rPr>
      </w:pPr>
      <w:r w:rsidRPr="00732309">
        <w:rPr>
          <w:szCs w:val="22"/>
        </w:rPr>
        <w:t>it may be accompanied with:</w:t>
      </w:r>
    </w:p>
    <w:p w:rsidRPr="00732309" w:rsidR="003A4AF7" w:rsidP="00E03C67" w:rsidRDefault="00713E62" w14:paraId="48EF0DC5" w14:textId="77777777">
      <w:pPr>
        <w:numPr>
          <w:ilvl w:val="1"/>
          <w:numId w:val="16"/>
        </w:numPr>
        <w:autoSpaceDE w:val="0"/>
        <w:autoSpaceDN w:val="0"/>
        <w:adjustRightInd w:val="0"/>
        <w:spacing w:before="100" w:after="100"/>
        <w:rPr>
          <w:szCs w:val="22"/>
        </w:rPr>
      </w:pPr>
      <w:r w:rsidRPr="00732309">
        <w:rPr>
          <w:szCs w:val="22"/>
        </w:rPr>
        <w:t>a pre-addressed, postage-paid reply card for requesting a copy of the proxy materials;</w:t>
      </w:r>
    </w:p>
    <w:p w:rsidRPr="00732309" w:rsidR="003A4AF7" w:rsidP="00E03C67" w:rsidRDefault="00713E62" w14:paraId="15F009B9" w14:textId="77777777">
      <w:pPr>
        <w:numPr>
          <w:ilvl w:val="1"/>
          <w:numId w:val="16"/>
        </w:numPr>
        <w:autoSpaceDE w:val="0"/>
        <w:autoSpaceDN w:val="0"/>
        <w:adjustRightInd w:val="0"/>
        <w:spacing w:before="100" w:after="100"/>
        <w:rPr>
          <w:szCs w:val="22"/>
        </w:rPr>
      </w:pPr>
      <w:r w:rsidRPr="00732309">
        <w:rPr>
          <w:szCs w:val="22"/>
        </w:rPr>
        <w:t>a copy of any notice of security holder meeting required under state law if that notice is not combined with the Notice of Internet Availability; and</w:t>
      </w:r>
    </w:p>
    <w:p w:rsidRPr="00732309" w:rsidR="003A4AF7" w:rsidP="00E03C67" w:rsidRDefault="00713E62" w14:paraId="34B1B8CD" w14:textId="752BB6FC">
      <w:pPr>
        <w:numPr>
          <w:ilvl w:val="1"/>
          <w:numId w:val="16"/>
        </w:numPr>
        <w:autoSpaceDE w:val="0"/>
        <w:autoSpaceDN w:val="0"/>
        <w:adjustRightInd w:val="0"/>
        <w:spacing w:before="100" w:after="100"/>
        <w:rPr>
          <w:szCs w:val="22"/>
        </w:rPr>
      </w:pPr>
      <w:r w:rsidRPr="00732309">
        <w:rPr>
          <w:szCs w:val="22"/>
        </w:rPr>
        <w:t>an explanation of the reasons for the company</w:t>
      </w:r>
      <w:r w:rsidR="00113572">
        <w:rPr>
          <w:szCs w:val="22"/>
        </w:rPr>
        <w:t>’</w:t>
      </w:r>
      <w:r w:rsidR="00B86714">
        <w:rPr>
          <w:szCs w:val="22"/>
        </w:rPr>
        <w:t>s</w:t>
      </w:r>
      <w:r w:rsidRPr="00732309">
        <w:rPr>
          <w:szCs w:val="22"/>
        </w:rPr>
        <w:t xml:space="preserve"> use of the SEC</w:t>
      </w:r>
      <w:r w:rsidR="00113572">
        <w:rPr>
          <w:szCs w:val="22"/>
        </w:rPr>
        <w:t>’</w:t>
      </w:r>
      <w:r w:rsidR="00B86714">
        <w:rPr>
          <w:szCs w:val="22"/>
        </w:rPr>
        <w:t>s</w:t>
      </w:r>
      <w:r w:rsidRPr="00732309">
        <w:rPr>
          <w:szCs w:val="22"/>
        </w:rPr>
        <w:t xml:space="preserve"> electronic proxy solicitation rules and the process for the shareholders</w:t>
      </w:r>
      <w:r w:rsidR="00113572">
        <w:rPr>
          <w:szCs w:val="22"/>
        </w:rPr>
        <w:t>’</w:t>
      </w:r>
      <w:r w:rsidRPr="00732309">
        <w:rPr>
          <w:szCs w:val="22"/>
        </w:rPr>
        <w:t xml:space="preserve"> receiving and reviewing the proxy materials and voting; and</w:t>
      </w:r>
    </w:p>
    <w:p w:rsidRPr="00732309" w:rsidR="003A4AF7" w:rsidP="00E03C67" w:rsidRDefault="00713E62" w14:paraId="210B6BF6" w14:textId="77777777">
      <w:pPr>
        <w:numPr>
          <w:ilvl w:val="0"/>
          <w:numId w:val="16"/>
        </w:numPr>
        <w:autoSpaceDE w:val="0"/>
        <w:autoSpaceDN w:val="0"/>
        <w:adjustRightInd w:val="0"/>
        <w:spacing w:before="100" w:after="100"/>
        <w:rPr>
          <w:szCs w:val="22"/>
        </w:rPr>
      </w:pPr>
      <w:r w:rsidRPr="00732309">
        <w:rPr>
          <w:szCs w:val="22"/>
        </w:rPr>
        <w:t>at least ten days after the initial Notice of Internet Availability has been sent, the company may send a form of proxy to stockholders accompanied by a copy of the Notice of Internet Availability.</w:t>
      </w:r>
    </w:p>
    <w:p w:rsidRPr="00732309" w:rsidR="003A4AF7" w:rsidRDefault="00713E62" w14:paraId="4E398DE3" w14:textId="77777777">
      <w:pPr>
        <w:autoSpaceDE w:val="0"/>
        <w:autoSpaceDN w:val="0"/>
        <w:adjustRightInd w:val="0"/>
        <w:spacing w:before="100" w:after="100"/>
        <w:rPr>
          <w:szCs w:val="22"/>
        </w:rPr>
      </w:pPr>
      <w:r w:rsidRPr="00732309">
        <w:rPr>
          <w:szCs w:val="22"/>
        </w:rPr>
        <w:t>The Notice of Internet Availability must be sent at least 40 days prior to the meeting and the company must provide intermediaries with the information required to be included in the Notice of Internet Availability in sufficient time for the intermediaries to prepare, print and send their own Notices of Internet Availability at least 40 days prior to the meeting.</w:t>
      </w:r>
      <w:r w:rsidR="00E55F7F">
        <w:rPr>
          <w:szCs w:val="22"/>
        </w:rPr>
        <w:t xml:space="preserve"> </w:t>
      </w:r>
      <w:r w:rsidRPr="00732309">
        <w:rPr>
          <w:szCs w:val="22"/>
        </w:rPr>
        <w:t>A single copy of the Notice of Internet Availability may be sent to one or more stockholders sharing the same address if the relevant householding requirements have been satisfied (i.e., consent need not be resolicited to household the Notice of Internet Availability).</w:t>
      </w:r>
    </w:p>
    <w:p w:rsidRPr="00732309" w:rsidR="003A4AF7" w:rsidP="005072D3" w:rsidRDefault="00713E62" w14:paraId="11052F49" w14:textId="77777777">
      <w:pPr>
        <w:keepNext/>
        <w:keepLines/>
        <w:autoSpaceDE w:val="0"/>
        <w:autoSpaceDN w:val="0"/>
        <w:adjustRightInd w:val="0"/>
        <w:spacing w:before="100" w:after="100"/>
        <w:rPr>
          <w:szCs w:val="22"/>
        </w:rPr>
      </w:pPr>
      <w:r w:rsidRPr="00732309">
        <w:rPr>
          <w:b/>
          <w:i/>
          <w:szCs w:val="22"/>
        </w:rPr>
        <w:t>Plain English</w:t>
      </w:r>
      <w:r w:rsidRPr="00732309">
        <w:rPr>
          <w:szCs w:val="22"/>
        </w:rPr>
        <w:t>.</w:t>
      </w:r>
      <w:r w:rsidR="00E55F7F">
        <w:rPr>
          <w:szCs w:val="22"/>
        </w:rPr>
        <w:t xml:space="preserve"> </w:t>
      </w:r>
      <w:r w:rsidRPr="00732309">
        <w:rPr>
          <w:szCs w:val="22"/>
        </w:rPr>
        <w:t>The company must use plain English principles in the organization, language, and design of the Notice of Internet Availability, including using:</w:t>
      </w:r>
    </w:p>
    <w:p w:rsidRPr="00732309" w:rsidR="003A4AF7" w:rsidP="0011640B" w:rsidRDefault="00713E62" w14:paraId="0EF3B3A0" w14:textId="77777777">
      <w:pPr>
        <w:pStyle w:val="ListNumber"/>
        <w:keepNext/>
        <w:keepLines/>
        <w:numPr>
          <w:ilvl w:val="0"/>
          <w:numId w:val="10"/>
        </w:numPr>
        <w:tabs>
          <w:tab w:val="clear" w:pos="720"/>
          <w:tab w:val="num" w:pos="1080"/>
        </w:tabs>
        <w:spacing w:after="0"/>
        <w:ind w:left="1080" w:hanging="360"/>
        <w:rPr>
          <w:szCs w:val="22"/>
        </w:rPr>
      </w:pPr>
      <w:r w:rsidRPr="00732309">
        <w:rPr>
          <w:szCs w:val="22"/>
        </w:rPr>
        <w:t>Short sentences;</w:t>
      </w:r>
    </w:p>
    <w:p w:rsidRPr="00732309" w:rsidR="003A4AF7" w:rsidP="0011640B" w:rsidRDefault="00713E62" w14:paraId="363ECC21" w14:textId="77777777">
      <w:pPr>
        <w:pStyle w:val="ListNumber"/>
        <w:keepNext/>
        <w:keepLines/>
        <w:tabs>
          <w:tab w:val="clear" w:pos="720"/>
          <w:tab w:val="num" w:pos="1080"/>
        </w:tabs>
        <w:spacing w:after="0"/>
        <w:ind w:left="1080" w:hanging="360"/>
        <w:rPr>
          <w:szCs w:val="22"/>
        </w:rPr>
      </w:pPr>
      <w:r w:rsidRPr="00732309">
        <w:rPr>
          <w:szCs w:val="22"/>
        </w:rPr>
        <w:t>Definite, concrete, everyday words;</w:t>
      </w:r>
    </w:p>
    <w:p w:rsidRPr="00732309" w:rsidR="003A4AF7" w:rsidP="0011640B" w:rsidRDefault="00713E62" w14:paraId="2229E103" w14:textId="77777777">
      <w:pPr>
        <w:pStyle w:val="ListNumber"/>
        <w:tabs>
          <w:tab w:val="clear" w:pos="720"/>
          <w:tab w:val="num" w:pos="1080"/>
        </w:tabs>
        <w:spacing w:after="0"/>
        <w:ind w:left="1080" w:hanging="360"/>
        <w:rPr>
          <w:szCs w:val="22"/>
        </w:rPr>
      </w:pPr>
      <w:r w:rsidRPr="00732309">
        <w:rPr>
          <w:szCs w:val="22"/>
        </w:rPr>
        <w:t>Active voice;</w:t>
      </w:r>
    </w:p>
    <w:p w:rsidRPr="00732309" w:rsidR="003A4AF7" w:rsidP="0011640B" w:rsidRDefault="00713E62" w14:paraId="3BA9ED75" w14:textId="77777777">
      <w:pPr>
        <w:pStyle w:val="ListNumber"/>
        <w:tabs>
          <w:tab w:val="clear" w:pos="720"/>
          <w:tab w:val="num" w:pos="1080"/>
        </w:tabs>
        <w:spacing w:after="0"/>
        <w:ind w:left="1080" w:hanging="360"/>
        <w:rPr>
          <w:szCs w:val="22"/>
        </w:rPr>
      </w:pPr>
      <w:r w:rsidRPr="00732309">
        <w:rPr>
          <w:szCs w:val="22"/>
        </w:rPr>
        <w:t>Tabular presentation or bullet lists for complex material, whenever possible;</w:t>
      </w:r>
    </w:p>
    <w:p w:rsidRPr="00732309" w:rsidR="003A4AF7" w:rsidP="0011640B" w:rsidRDefault="00713E62" w14:paraId="01077248" w14:textId="77777777">
      <w:pPr>
        <w:pStyle w:val="ListNumber"/>
        <w:tabs>
          <w:tab w:val="clear" w:pos="720"/>
          <w:tab w:val="num" w:pos="1080"/>
        </w:tabs>
        <w:spacing w:after="0"/>
        <w:ind w:left="1080" w:hanging="360"/>
        <w:rPr>
          <w:szCs w:val="22"/>
        </w:rPr>
      </w:pPr>
      <w:r w:rsidRPr="00732309">
        <w:rPr>
          <w:szCs w:val="22"/>
        </w:rPr>
        <w:t>No legal jargon or highly technical business terms; and</w:t>
      </w:r>
    </w:p>
    <w:p w:rsidR="003A4AF7" w:rsidP="000A2138" w:rsidRDefault="00713E62" w14:paraId="15B7E04B" w14:textId="1A9EC6C6">
      <w:pPr>
        <w:pStyle w:val="ListNumber"/>
        <w:tabs>
          <w:tab w:val="clear" w:pos="720"/>
          <w:tab w:val="num" w:pos="1080"/>
        </w:tabs>
        <w:spacing w:after="0"/>
        <w:ind w:left="1080" w:hanging="360"/>
        <w:rPr>
          <w:szCs w:val="22"/>
        </w:rPr>
      </w:pPr>
      <w:r w:rsidRPr="00732309">
        <w:rPr>
          <w:szCs w:val="22"/>
        </w:rPr>
        <w:t>No multiple negatives.</w:t>
      </w:r>
    </w:p>
    <w:p w:rsidRPr="00732309" w:rsidR="000A2138" w:rsidP="000A2138" w:rsidRDefault="000A2138" w14:paraId="583C5F3D" w14:textId="77777777"/>
    <w:p w:rsidRPr="00732309" w:rsidR="003A4AF7" w:rsidRDefault="003A4AF7" w14:paraId="4A614FDE" w14:textId="77777777">
      <w:pPr>
        <w:jc w:val="center"/>
        <w:rPr>
          <w:b/>
          <w:sz w:val="26"/>
          <w:szCs w:val="26"/>
        </w:rPr>
        <w:sectPr w:rsidRPr="00732309" w:rsidR="003A4AF7" w:rsidSect="00D833EC">
          <w:headerReference w:type="even" r:id="rId146"/>
          <w:headerReference w:type="default" r:id="rId147"/>
          <w:footerReference w:type="even" r:id="rId148"/>
          <w:footerReference w:type="default" r:id="rId149"/>
          <w:headerReference w:type="first" r:id="rId150"/>
          <w:footerReference w:type="first" r:id="rId151"/>
          <w:footnotePr>
            <w:numRestart w:val="eachSect"/>
          </w:footnotePr>
          <w:pgSz w:w="12240" w:h="15840" w:code="1"/>
          <w:pgMar w:top="720" w:right="720" w:bottom="720" w:left="720" w:header="720" w:footer="144" w:gutter="0"/>
          <w:cols w:space="720"/>
          <w:noEndnote/>
          <w:docGrid w:linePitch="326"/>
        </w:sectPr>
      </w:pPr>
    </w:p>
    <w:p w:rsidRPr="00D833EC" w:rsidR="003A4AF7" w:rsidP="00D833EC" w:rsidRDefault="00713E62" w14:paraId="1241C2F4" w14:textId="038EE3A2">
      <w:pPr>
        <w:spacing w:after="0"/>
        <w:jc w:val="center"/>
        <w:rPr>
          <w:b/>
          <w:caps/>
          <w:szCs w:val="22"/>
        </w:rPr>
      </w:pPr>
      <w:r w:rsidRPr="00D833EC">
        <w:rPr>
          <w:b/>
          <w:caps/>
          <w:szCs w:val="22"/>
        </w:rPr>
        <w:lastRenderedPageBreak/>
        <w:t>Appendix 2</w:t>
      </w:r>
    </w:p>
    <w:p w:rsidRPr="00D833EC" w:rsidR="003A4AF7" w:rsidP="00D833EC" w:rsidRDefault="00713E62" w14:paraId="7FE0D32B" w14:textId="77777777">
      <w:pPr>
        <w:spacing w:after="0"/>
        <w:jc w:val="center"/>
        <w:rPr>
          <w:b/>
          <w:caps/>
          <w:szCs w:val="22"/>
        </w:rPr>
      </w:pPr>
      <w:r w:rsidRPr="00D833EC">
        <w:rPr>
          <w:b/>
          <w:caps/>
          <w:szCs w:val="22"/>
        </w:rPr>
        <w:t>Summary Requirements for Notice of Internet Availability</w:t>
      </w:r>
    </w:p>
    <w:p w:rsidRPr="00D833EC" w:rsidR="003A4AF7" w:rsidP="00D833EC" w:rsidRDefault="00713E62" w14:paraId="6F12123A" w14:textId="77777777">
      <w:pPr>
        <w:spacing w:after="0"/>
        <w:jc w:val="center"/>
        <w:rPr>
          <w:b/>
          <w:szCs w:val="22"/>
          <w:u w:val="single"/>
        </w:rPr>
      </w:pPr>
      <w:r w:rsidRPr="00D833EC">
        <w:rPr>
          <w:b/>
          <w:caps/>
          <w:szCs w:val="22"/>
          <w:u w:val="single"/>
        </w:rPr>
        <w:t>(Full Set Delivery Model)</w:t>
      </w:r>
    </w:p>
    <w:p w:rsidRPr="00732309" w:rsidR="003A4AF7" w:rsidRDefault="003A4AF7" w14:paraId="235233C8" w14:textId="77777777">
      <w:pPr>
        <w:jc w:val="center"/>
        <w:rPr>
          <w:szCs w:val="22"/>
        </w:rPr>
      </w:pPr>
    </w:p>
    <w:p w:rsidRPr="00732309" w:rsidR="003A4AF7" w:rsidRDefault="00713E62" w14:paraId="23994B1C" w14:textId="77777777">
      <w:pPr>
        <w:rPr>
          <w:szCs w:val="22"/>
        </w:rPr>
      </w:pPr>
      <w:r w:rsidRPr="00732309">
        <w:rPr>
          <w:i/>
          <w:szCs w:val="22"/>
        </w:rPr>
        <w:t>This document summarizes the requirements applicable to a Notice of Internet Availability under the full set delivery model.</w:t>
      </w:r>
      <w:r w:rsidR="00E55F7F">
        <w:rPr>
          <w:i/>
          <w:szCs w:val="22"/>
        </w:rPr>
        <w:t xml:space="preserve"> </w:t>
      </w:r>
      <w:r w:rsidRPr="00732309">
        <w:rPr>
          <w:i/>
          <w:szCs w:val="22"/>
        </w:rPr>
        <w:t>Companies should consult their regular Goodwin Procter attorney for additional information concerning the contents of the Notice of Internet Availability.</w:t>
      </w:r>
    </w:p>
    <w:p w:rsidRPr="00732309" w:rsidR="003A4AF7" w:rsidRDefault="00713E62" w14:paraId="0C402996" w14:textId="2EE827B7">
      <w:pPr>
        <w:rPr>
          <w:szCs w:val="22"/>
        </w:rPr>
      </w:pPr>
      <w:r w:rsidRPr="00732309">
        <w:rPr>
          <w:b/>
          <w:i/>
          <w:szCs w:val="22"/>
        </w:rPr>
        <w:t>Content</w:t>
      </w:r>
      <w:r w:rsidRPr="00732309">
        <w:rPr>
          <w:szCs w:val="22"/>
        </w:rPr>
        <w:t>.</w:t>
      </w:r>
      <w:r w:rsidR="00E55F7F">
        <w:rPr>
          <w:szCs w:val="22"/>
        </w:rPr>
        <w:t xml:space="preserve"> </w:t>
      </w:r>
      <w:r w:rsidRPr="00732309">
        <w:rPr>
          <w:szCs w:val="22"/>
        </w:rPr>
        <w:t>The following information must be either (1) included in a separate Notice of Internet Availability that is sent with the other proxy materials, in which case the Notice may not include any other information except as noted below, or (2) contained, collectively, in the proxy statement and form of proxy</w:t>
      </w:r>
      <w:r w:rsidR="00586CC8">
        <w:rPr>
          <w:szCs w:val="22"/>
        </w:rPr>
        <w:t xml:space="preserve"> (which is the more common approach)</w:t>
      </w:r>
      <w:r w:rsidRPr="00732309">
        <w:rPr>
          <w:szCs w:val="22"/>
        </w:rPr>
        <w:t>.</w:t>
      </w:r>
      <w:r w:rsidR="00E55F7F">
        <w:rPr>
          <w:szCs w:val="22"/>
        </w:rPr>
        <w:t xml:space="preserve"> </w:t>
      </w:r>
      <w:r w:rsidRPr="00732309">
        <w:rPr>
          <w:szCs w:val="22"/>
        </w:rPr>
        <w:t>If this information is contained in the proxy statement and the form of proxy, then a separate Notice of Internet Availability need not be sent.</w:t>
      </w:r>
      <w:r w:rsidR="00E55F7F">
        <w:rPr>
          <w:szCs w:val="22"/>
        </w:rPr>
        <w:t xml:space="preserve"> </w:t>
      </w:r>
      <w:r w:rsidRPr="00732309">
        <w:rPr>
          <w:szCs w:val="22"/>
        </w:rPr>
        <w:t>The following is the information required</w:t>
      </w:r>
      <w:r>
        <w:rPr>
          <w:rStyle w:val="FootnoteReference"/>
          <w:szCs w:val="22"/>
        </w:rPr>
        <w:footnoteReference w:id="4"/>
      </w:r>
      <w:r w:rsidRPr="00732309">
        <w:rPr>
          <w:szCs w:val="22"/>
        </w:rPr>
        <w:t>:</w:t>
      </w:r>
    </w:p>
    <w:p w:rsidRPr="00732309" w:rsidR="003A4AF7" w:rsidP="00E03C67" w:rsidRDefault="00713E62" w14:paraId="36ACE58B" w14:textId="4E753C75">
      <w:pPr>
        <w:pStyle w:val="ListNumber"/>
        <w:numPr>
          <w:ilvl w:val="0"/>
          <w:numId w:val="12"/>
        </w:numPr>
        <w:rPr>
          <w:szCs w:val="22"/>
        </w:rPr>
      </w:pPr>
      <w:r w:rsidRPr="00732309">
        <w:rPr>
          <w:szCs w:val="22"/>
        </w:rPr>
        <w:t>A prominent legend in bold-face type that states</w:t>
      </w:r>
      <w:r w:rsidR="00081BB3">
        <w:rPr>
          <w:szCs w:val="22"/>
        </w:rPr>
        <w:t xml:space="preserve">:  </w:t>
      </w:r>
    </w:p>
    <w:p w:rsidRPr="00732309" w:rsidR="003A4AF7" w:rsidRDefault="00713E62" w14:paraId="21EED7FF" w14:textId="77777777">
      <w:pPr>
        <w:autoSpaceDE w:val="0"/>
        <w:autoSpaceDN w:val="0"/>
        <w:adjustRightInd w:val="0"/>
        <w:spacing w:before="100" w:after="240"/>
        <w:ind w:left="1440"/>
        <w:rPr>
          <w:szCs w:val="22"/>
        </w:rPr>
      </w:pPr>
      <w:r w:rsidRPr="00732309">
        <w:rPr>
          <w:b/>
          <w:szCs w:val="22"/>
        </w:rPr>
        <w:t xml:space="preserve">Important Notice Regarding the Availability of Proxy Materials for the Shareholder Meeting </w:t>
      </w:r>
      <w:r w:rsidRPr="00732309" w:rsidR="00401FBE">
        <w:rPr>
          <w:b/>
          <w:szCs w:val="22"/>
        </w:rPr>
        <w:t>to</w:t>
      </w:r>
      <w:r w:rsidRPr="00732309">
        <w:rPr>
          <w:b/>
          <w:szCs w:val="22"/>
        </w:rPr>
        <w:t xml:space="preserve"> Be Held on [insert meeting date]</w:t>
      </w:r>
    </w:p>
    <w:p w:rsidRPr="00732309" w:rsidR="003A4AF7" w:rsidRDefault="00713E62" w14:paraId="62E10496" w14:textId="77777777">
      <w:pPr>
        <w:pStyle w:val="ListNumber"/>
        <w:rPr>
          <w:szCs w:val="22"/>
        </w:rPr>
      </w:pPr>
      <w:r w:rsidRPr="00732309">
        <w:rPr>
          <w:szCs w:val="22"/>
        </w:rPr>
        <w:t xml:space="preserve">Address the topics below, which do </w:t>
      </w:r>
      <w:r w:rsidRPr="00732309">
        <w:rPr>
          <w:b/>
          <w:szCs w:val="22"/>
        </w:rPr>
        <w:t>not</w:t>
      </w:r>
      <w:r w:rsidRPr="00732309">
        <w:rPr>
          <w:szCs w:val="22"/>
        </w:rPr>
        <w:t xml:space="preserve"> need to be in exactly the form(s) below:</w:t>
      </w:r>
    </w:p>
    <w:p w:rsidRPr="00732309" w:rsidR="003A4AF7" w:rsidP="00E03C67" w:rsidRDefault="00713E62" w14:paraId="6D79DC1C" w14:textId="77777777">
      <w:pPr>
        <w:numPr>
          <w:ilvl w:val="0"/>
          <w:numId w:val="13"/>
        </w:numPr>
        <w:autoSpaceDE w:val="0"/>
        <w:autoSpaceDN w:val="0"/>
        <w:adjustRightInd w:val="0"/>
        <w:spacing w:before="100" w:after="240"/>
        <w:rPr>
          <w:szCs w:val="22"/>
        </w:rPr>
      </w:pPr>
      <w:r w:rsidRPr="00732309">
        <w:rPr>
          <w:szCs w:val="22"/>
        </w:rPr>
        <w:t>The proxy materials are available at [insert website address]</w:t>
      </w:r>
      <w:r>
        <w:rPr>
          <w:rStyle w:val="FootnoteReference"/>
          <w:szCs w:val="22"/>
        </w:rPr>
        <w:footnoteReference w:id="5"/>
      </w:r>
    </w:p>
    <w:p w:rsidRPr="00732309" w:rsidR="003A4AF7" w:rsidP="00E03C67" w:rsidRDefault="00713E62" w14:paraId="0C61CBE7" w14:textId="77777777">
      <w:pPr>
        <w:numPr>
          <w:ilvl w:val="0"/>
          <w:numId w:val="13"/>
        </w:numPr>
        <w:autoSpaceDE w:val="0"/>
        <w:autoSpaceDN w:val="0"/>
        <w:adjustRightInd w:val="0"/>
        <w:spacing w:before="100" w:after="240"/>
        <w:rPr>
          <w:szCs w:val="22"/>
        </w:rPr>
      </w:pPr>
      <w:r w:rsidRPr="00732309">
        <w:rPr>
          <w:szCs w:val="22"/>
        </w:rPr>
        <w:t>The date, time, and location of the meeting, or if corporate action is to be taken by written consent, the earliest date on which the corporate action may be effected</w:t>
      </w:r>
    </w:p>
    <w:p w:rsidRPr="00732309" w:rsidR="003A4AF7" w:rsidP="00E03C67" w:rsidRDefault="00713E62" w14:paraId="1ED8029C" w14:textId="1325811F">
      <w:pPr>
        <w:numPr>
          <w:ilvl w:val="0"/>
          <w:numId w:val="13"/>
        </w:numPr>
        <w:autoSpaceDE w:val="0"/>
        <w:autoSpaceDN w:val="0"/>
        <w:adjustRightInd w:val="0"/>
        <w:spacing w:before="100" w:after="240"/>
        <w:rPr>
          <w:szCs w:val="22"/>
        </w:rPr>
      </w:pPr>
      <w:r w:rsidRPr="00732309">
        <w:rPr>
          <w:szCs w:val="22"/>
        </w:rPr>
        <w:t>A clear and impartial identification of each separate matter intended to be acted on and the soliciting person</w:t>
      </w:r>
      <w:r w:rsidR="00113572">
        <w:rPr>
          <w:szCs w:val="22"/>
        </w:rPr>
        <w:t>’</w:t>
      </w:r>
      <w:r w:rsidR="00B86714">
        <w:rPr>
          <w:szCs w:val="22"/>
        </w:rPr>
        <w:t>s</w:t>
      </w:r>
      <w:r w:rsidRPr="00732309">
        <w:rPr>
          <w:szCs w:val="22"/>
        </w:rPr>
        <w:t xml:space="preserve"> recommendations, if any, regarding those matters, but no supporting statements</w:t>
      </w:r>
    </w:p>
    <w:p w:rsidRPr="00732309" w:rsidR="003A4AF7" w:rsidP="00E03C67" w:rsidRDefault="00713E62" w14:paraId="5FE8DC28" w14:textId="77777777">
      <w:pPr>
        <w:numPr>
          <w:ilvl w:val="0"/>
          <w:numId w:val="13"/>
        </w:numPr>
        <w:autoSpaceDE w:val="0"/>
        <w:autoSpaceDN w:val="0"/>
        <w:adjustRightInd w:val="0"/>
        <w:spacing w:before="100" w:after="240"/>
        <w:rPr>
          <w:szCs w:val="22"/>
        </w:rPr>
      </w:pPr>
      <w:r w:rsidRPr="00732309">
        <w:rPr>
          <w:szCs w:val="22"/>
        </w:rPr>
        <w:t>A list of the materials being made available at the specified website</w:t>
      </w:r>
    </w:p>
    <w:p w:rsidRPr="00732309" w:rsidR="003A4AF7" w:rsidP="00E03C67" w:rsidRDefault="00713E62" w14:paraId="0352E14C" w14:textId="77777777">
      <w:pPr>
        <w:numPr>
          <w:ilvl w:val="0"/>
          <w:numId w:val="13"/>
        </w:numPr>
        <w:autoSpaceDE w:val="0"/>
        <w:autoSpaceDN w:val="0"/>
        <w:adjustRightInd w:val="0"/>
        <w:spacing w:before="100" w:after="240"/>
        <w:rPr>
          <w:szCs w:val="22"/>
        </w:rPr>
      </w:pPr>
      <w:r w:rsidRPr="00732309">
        <w:rPr>
          <w:szCs w:val="22"/>
        </w:rPr>
        <w:t>Any control/identification numbers that the security holder needs to access his or her form of proxy</w:t>
      </w:r>
      <w:r>
        <w:rPr>
          <w:szCs w:val="22"/>
          <w:vertAlign w:val="superscript"/>
        </w:rPr>
        <w:footnoteReference w:id="6"/>
      </w:r>
    </w:p>
    <w:p w:rsidRPr="00732309" w:rsidR="003A4AF7" w:rsidP="00E03C67" w:rsidRDefault="00713E62" w14:paraId="30D78843" w14:textId="77777777">
      <w:pPr>
        <w:numPr>
          <w:ilvl w:val="0"/>
          <w:numId w:val="13"/>
        </w:numPr>
        <w:autoSpaceDE w:val="0"/>
        <w:autoSpaceDN w:val="0"/>
        <w:adjustRightInd w:val="0"/>
        <w:spacing w:before="100" w:after="240"/>
        <w:rPr>
          <w:szCs w:val="22"/>
        </w:rPr>
      </w:pPr>
      <w:r w:rsidRPr="00732309">
        <w:rPr>
          <w:szCs w:val="22"/>
        </w:rPr>
        <w:t>Information on how to obtain directions to be able to attend the meeting and vote in person</w:t>
      </w:r>
    </w:p>
    <w:p w:rsidRPr="00732309" w:rsidR="003A4AF7" w:rsidRDefault="00713E62" w14:paraId="57934EBA" w14:textId="77777777">
      <w:pPr>
        <w:rPr>
          <w:szCs w:val="22"/>
        </w:rPr>
      </w:pPr>
      <w:r w:rsidRPr="00732309">
        <w:rPr>
          <w:szCs w:val="22"/>
        </w:rPr>
        <w:t>If a separate Notice of Internet Availability is sent, it may also contain any additional information required to be included in a notice of stockholders meeting under state law and a statement to educate security holders that no personal information other than the identification or control number is necessary to execute a proxy.</w:t>
      </w:r>
    </w:p>
    <w:p w:rsidRPr="00732309" w:rsidR="003A4AF7" w:rsidRDefault="00713E62" w14:paraId="39656346" w14:textId="77777777">
      <w:pPr>
        <w:rPr>
          <w:szCs w:val="22"/>
        </w:rPr>
      </w:pPr>
      <w:r w:rsidRPr="00732309">
        <w:rPr>
          <w:szCs w:val="22"/>
        </w:rPr>
        <w:t>The design of any separate Notice of Internet Availability may include pictures, logos, or similar design elements so long as the design is not misleading and the required information is clear.</w:t>
      </w:r>
    </w:p>
    <w:p w:rsidR="00643D74" w:rsidRDefault="00713E62" w14:paraId="16947699" w14:textId="77777777">
      <w:pPr>
        <w:rPr>
          <w:i/>
          <w:sz w:val="18"/>
          <w:szCs w:val="18"/>
        </w:rPr>
      </w:pPr>
      <w:r w:rsidRPr="00732309">
        <w:rPr>
          <w:i/>
          <w:sz w:val="18"/>
          <w:szCs w:val="18"/>
        </w:rPr>
        <w:t>This document, which may be considered advertising under the ethical rules of certain jurisdictions, is provided with the understanding that it does not constitute the rendering of legal advice or other professional advice by Goodwin Procter LLP or its attorneys. Additionally, the foregoing discussion does not constitute tax advice. Any discussion of tax matters contained in this publication is not intended or written to be used, and cannot be used, for the purpose of avoiding penalties under the Internal Revenue Code or promoting, marketing or recommending to another party any transaction or matter.</w:t>
      </w:r>
    </w:p>
    <w:p w:rsidR="005C0891" w:rsidRDefault="000D00E3" w14:paraId="22217277" w14:textId="77777777">
      <w:bookmarkStart w:name="_Hlk523406063" w:id="12"/>
      <w:r>
        <w:rPr>
          <w:noProof/>
          <w:lang w:eastAsia="zh-CN"/>
        </w:rPr>
        <w:pict w14:anchorId="142C29B1">
          <v:shapetype id="_x0000_t202" coordsize="21600,21600" o:spt="202" path="m,l,21600r21600,l21600,xe">
            <v:stroke joinstyle="miter"/>
            <v:path gradientshapeok="t" o:connecttype="rect"/>
          </v:shapetype>
          <v:shape id="zzmpTrailer_1079_31" style="position:absolute;margin-left:0;margin-top:0;width:130.85pt;height:18.4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">
            <v:textbox style="mso-fit-shape-to-text:t" inset="0,0,0,0">
              <w:txbxContent>
                <w:p w:rsidR="005C0891" w:rsidRDefault="005C0891" w14:paraId="7D482571" w14:textId="75234845">
                  <w:pPr>
                    <w:pStyle w:val="MacPacTrailer"/>
                  </w:pPr>
                  <w:r>
                    <w:t xml:space="preserve">ACTIVE/114385523.12 </w:t>
                  </w:r>
                </w:p>
                <w:p w:rsidR="005C0891" w:rsidRDefault="005C0891" w14:paraId="53D15E74" w14:textId="0FBE5BC0">
                  <w:pPr>
                    <w:pStyle w:val="MacPacTrailer"/>
                  </w:pPr>
                  <w:r>
                    <w:t xml:space="preserve">02/17/22 </w:t>
                  </w:r>
                </w:p>
              </w:txbxContent>
            </v:textbox>
            <w10:wrap anchorx="margin"/>
          </v:shape>
        </w:pict>
      </w:r>
      <w:bookmarkEnd w:id="12"/>
    </w:p>
    <w:sectPr w:rsidR="005C0891" w:rsidSect="00D833EC">
      <w:headerReference w:type="default" r:id="rId152"/>
      <w:headerReference w:type="first" r:id="rId153"/>
      <w:footerReference w:type="first" r:id="rId154"/>
      <w:footnotePr>
        <w:numRestart w:val="eachSect"/>
      </w:footnotePr>
      <w:pgSz w:w="12240" w:h="15840" w:code="1"/>
      <w:pgMar w:top="720" w:right="720" w:bottom="720" w:left="720" w:header="720"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0EAC" w:rsidRDefault="00DC0EAC" w14:paraId="1779EE1B" w14:textId="77777777">
      <w:r>
        <w:separator/>
      </w:r>
    </w:p>
  </w:endnote>
  <w:endnote w:type="continuationSeparator" w:id="0">
    <w:p w:rsidR="00DC0EAC" w:rsidRDefault="00DC0EAC" w14:paraId="488D8A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adeGothic LT Bold">
    <w:altName w:val="Calibri"/>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32DB" w:rsidP="000A2138" w:rsidRDefault="000A2138" w14:paraId="32B3AA5C" w14:textId="77777777">
    <w:pPr>
      <w:pStyle w:val="Footer"/>
      <w:jc w:val="right"/>
      <w:rPr>
        <w:rFonts w:ascii="Arial" w:hAnsi="Arial" w:cs="Arial"/>
        <w:noProof/>
        <w:sz w:val="20"/>
      </w:rPr>
    </w:pPr>
    <w:r w:rsidRPr="00BE4A98">
      <w:rPr>
        <w:rFonts w:ascii="Arial" w:hAnsi="Arial" w:cs="Arial"/>
        <w:sz w:val="20"/>
      </w:rPr>
      <w:fldChar w:fldCharType="begin"/>
    </w:r>
    <w:r w:rsidRPr="00BE4A98">
      <w:rPr>
        <w:rFonts w:ascii="Arial" w:hAnsi="Arial" w:cs="Arial"/>
        <w:sz w:val="20"/>
      </w:rPr>
      <w:instrText xml:space="preserve"> PAGE   \* MERGEFORMAT </w:instrText>
    </w:r>
    <w:r w:rsidRPr="00BE4A98">
      <w:rPr>
        <w:rFonts w:ascii="Arial" w:hAnsi="Arial" w:cs="Arial"/>
        <w:sz w:val="20"/>
      </w:rPr>
      <w:fldChar w:fldCharType="separate"/>
    </w:r>
    <w:r>
      <w:rPr>
        <w:rFonts w:ascii="Arial" w:hAnsi="Arial" w:cs="Arial"/>
        <w:sz w:val="20"/>
      </w:rPr>
      <w:t>63</w:t>
    </w:r>
    <w:r w:rsidRPr="00BE4A98">
      <w:rPr>
        <w:rFonts w:ascii="Arial" w:hAnsi="Arial" w:cs="Arial"/>
        <w:noProof/>
        <w:sz w:val="20"/>
      </w:rPr>
      <w:fldChar w:fldCharType="end"/>
    </w:r>
    <w:r w:rsidRPr="00BE4A98">
      <w:rPr>
        <w:rFonts w:ascii="Arial" w:hAnsi="Arial" w:cs="Arial"/>
        <w:noProof/>
        <w:sz w:val="20"/>
      </w:rPr>
      <w:drawing>
        <wp:anchor distT="0" distB="0" distL="114300" distR="114300" simplePos="0" relativeHeight="251660800" behindDoc="1" locked="1" layoutInCell="1" allowOverlap="1" wp14:editId="5F863D3E" wp14:anchorId="62B54789">
          <wp:simplePos x="0" y="0"/>
          <wp:positionH relativeFrom="margin">
            <wp:posOffset>0</wp:posOffset>
          </wp:positionH>
          <wp:positionV relativeFrom="paragraph">
            <wp:posOffset>-47625</wp:posOffset>
          </wp:positionV>
          <wp:extent cx="1106170" cy="247015"/>
          <wp:effectExtent l="0" t="0" r="0" b="635"/>
          <wp:wrapNone/>
          <wp:docPr id="17" name="Picture 3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 name="Picture 36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106170" cy="247015"/>
                  </a:xfrm>
                  <a:prstGeom prst="rect">
                    <a:avLst/>
                  </a:prstGeom>
                  <a:noFill/>
                  <a:ln>
                    <a:noFill/>
                  </a:ln>
                </pic:spPr>
              </pic:pic>
            </a:graphicData>
          </a:graphic>
        </wp:anchor>
      </w:drawing>
    </w:r>
  </w:p>
</w:ftr>
</file>

<file path=word/footer2.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2138" w:rsidRDefault="000A2138" w14:paraId="3016CC46" w14:textId="27F66485">
    <w:pPr>
      <w:pStyle w:val="Footer"/>
    </w:pPr>
    <w:r>
      <w:rPr>
        <w:noProof/>
      </w:rPr>
      <w:drawing>
        <wp:anchor distT="0" distB="0" distL="114300" distR="114300" simplePos="0" relativeHeight="251661824" behindDoc="1" locked="0" layoutInCell="1" allowOverlap="1" wp14:editId="5DEDC04D" wp14:anchorId="01F3B351">
          <wp:simplePos x="0" y="0"/>
          <wp:positionH relativeFrom="column">
            <wp:posOffset>3175</wp:posOffset>
          </wp:positionH>
          <wp:positionV relativeFrom="paragraph">
            <wp:posOffset>-3234</wp:posOffset>
          </wp:positionV>
          <wp:extent cx="1103630" cy="243840"/>
          <wp:effectExtent l="0" t="0" r="1270" b="3810"/>
          <wp:wrapNone/>
          <wp:docPr id="19" name="Picture 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24384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A2138" w:rsidR="00DC0EAC" w:rsidP="000A2138" w:rsidRDefault="00DC0EAC" w14:paraId="124C3106" w14:textId="04F74229">
    <w:pPr>
      <w:pStyle w:val="Footer"/>
      <w:rPr>
        <w:rStyle w:val="DocID"/>
        <w:sz w:val="22"/>
      </w:rPr>
    </w:pPr>
  </w:p>
</w:ftr>
</file>

<file path=word/footer4.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0EAC" w:rsidP="000A2138" w:rsidRDefault="00DC0EAC" w14:paraId="4F2962A2" w14:textId="54C5F9AE">
    <w:pPr>
      <w:pStyle w:val="Footer"/>
      <w:jc w:val="right"/>
      <w:rPr>
        <w:rFonts w:ascii="Arial" w:hAnsi="Arial" w:cs="Arial"/>
        <w:noProof/>
        <w:sz w:val="20"/>
      </w:rPr>
    </w:pPr>
    <w:r w:rsidRPr="00BE4A98">
      <w:rPr>
        <w:rFonts w:ascii="Arial" w:hAnsi="Arial" w:cs="Arial"/>
        <w:sz w:val="20"/>
      </w:rPr>
      <w:fldChar w:fldCharType="begin"/>
    </w:r>
    <w:r w:rsidRPr="00BE4A98">
      <w:rPr>
        <w:rFonts w:ascii="Arial" w:hAnsi="Arial" w:cs="Arial"/>
        <w:sz w:val="20"/>
      </w:rPr>
      <w:instrText xml:space="preserve"> PAGE   \* MERGEFORMAT </w:instrText>
    </w:r>
    <w:r w:rsidRPr="00BE4A98">
      <w:rPr>
        <w:rFonts w:ascii="Arial" w:hAnsi="Arial" w:cs="Arial"/>
        <w:sz w:val="20"/>
      </w:rPr>
      <w:fldChar w:fldCharType="separate"/>
    </w:r>
    <w:r w:rsidRPr="00BE4A98">
      <w:rPr>
        <w:rFonts w:ascii="Arial" w:hAnsi="Arial" w:cs="Arial"/>
        <w:noProof/>
        <w:sz w:val="20"/>
      </w:rPr>
      <w:t>49</w:t>
    </w:r>
    <w:r w:rsidRPr="00BE4A98">
      <w:rPr>
        <w:rFonts w:ascii="Arial" w:hAnsi="Arial" w:cs="Arial"/>
        <w:noProof/>
        <w:sz w:val="20"/>
      </w:rPr>
      <w:fldChar w:fldCharType="end"/>
    </w:r>
    <w:r w:rsidRPr="00BE4A98">
      <w:rPr>
        <w:rFonts w:ascii="Arial" w:hAnsi="Arial" w:cs="Arial"/>
        <w:noProof/>
        <w:sz w:val="20"/>
      </w:rPr>
      <w:drawing>
        <wp:anchor distT="0" distB="0" distL="114300" distR="114300" simplePos="0" relativeHeight="251653632" behindDoc="1" locked="1" layoutInCell="1" allowOverlap="1" wp14:editId="3C878874" wp14:anchorId="64899372">
          <wp:simplePos x="0" y="0"/>
          <wp:positionH relativeFrom="margin">
            <wp:posOffset>0</wp:posOffset>
          </wp:positionH>
          <wp:positionV relativeFrom="paragraph">
            <wp:posOffset>-66675</wp:posOffset>
          </wp:positionV>
          <wp:extent cx="1106170" cy="247015"/>
          <wp:effectExtent l="0" t="0" r="0" b="635"/>
          <wp:wrapNone/>
          <wp:docPr id="2055" name="Picture 3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36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106170" cy="247015"/>
                  </a:xfrm>
                  <a:prstGeom prst="rect">
                    <a:avLst/>
                  </a:prstGeom>
                  <a:noFill/>
                  <a:ln>
                    <a:noFill/>
                  </a:ln>
                </pic:spPr>
              </pic:pic>
            </a:graphicData>
          </a:graphic>
        </wp:anchor>
      </w:drawing>
    </w:r>
  </w:p>
</w:ftr>
</file>

<file path=word/footer5.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0EAC" w:rsidP="00D833EC" w:rsidRDefault="00D833EC" w14:paraId="37A21B3E" w14:textId="08D44E97">
    <w:pPr>
      <w:pStyle w:val="Footer"/>
      <w:tabs>
        <w:tab w:val="center" w:pos="5400"/>
        <w:tab w:val="right" w:pos="10800"/>
      </w:tabs>
      <w:rPr>
        <w:rFonts w:ascii="Arial" w:hAnsi="Arial" w:cs="Arial"/>
        <w:noProof/>
        <w:sz w:val="20"/>
      </w:rPr>
    </w:pPr>
    <w:r>
      <w:rPr>
        <w:rFonts w:ascii="Arial" w:hAnsi="Arial" w:cs="Arial"/>
        <w:sz w:val="20"/>
      </w:rPr>
      <w:tab/>
    </w:r>
    <w:r>
      <w:rPr>
        <w:rFonts w:ascii="Arial" w:hAnsi="Arial" w:cs="Arial"/>
        <w:sz w:val="20"/>
      </w:rPr>
      <w:tab/>
    </w:r>
    <w:r w:rsidRPr="00BE4A98" w:rsidR="00DC0EAC">
      <w:rPr>
        <w:rFonts w:ascii="Arial" w:hAnsi="Arial" w:cs="Arial"/>
        <w:sz w:val="20"/>
      </w:rPr>
      <w:fldChar w:fldCharType="begin"/>
    </w:r>
    <w:r w:rsidRPr="00BE4A98" w:rsidR="00DC0EAC">
      <w:rPr>
        <w:rFonts w:ascii="Arial" w:hAnsi="Arial" w:cs="Arial"/>
        <w:sz w:val="20"/>
      </w:rPr>
      <w:instrText xml:space="preserve"> PAGE   \* MERGEFORMAT </w:instrText>
    </w:r>
    <w:r w:rsidRPr="00BE4A98" w:rsidR="00DC0EAC">
      <w:rPr>
        <w:rFonts w:ascii="Arial" w:hAnsi="Arial" w:cs="Arial"/>
        <w:sz w:val="20"/>
      </w:rPr>
      <w:fldChar w:fldCharType="separate"/>
    </w:r>
    <w:r w:rsidRPr="00BE4A98" w:rsidR="00DC0EAC">
      <w:rPr>
        <w:rFonts w:ascii="Arial" w:hAnsi="Arial" w:cs="Arial"/>
        <w:noProof/>
        <w:sz w:val="20"/>
      </w:rPr>
      <w:t>48</w:t>
    </w:r>
    <w:r w:rsidRPr="00BE4A98" w:rsidR="00DC0EAC">
      <w:rPr>
        <w:rFonts w:ascii="Arial" w:hAnsi="Arial" w:cs="Arial"/>
        <w:noProof/>
        <w:sz w:val="20"/>
      </w:rPr>
      <w:fldChar w:fldCharType="end"/>
    </w:r>
    <w:r w:rsidRPr="00BE4A98" w:rsidR="00DC0EAC">
      <w:rPr>
        <w:rFonts w:ascii="Arial" w:hAnsi="Arial" w:cs="Arial"/>
        <w:noProof/>
        <w:sz w:val="20"/>
      </w:rPr>
      <w:drawing>
        <wp:anchor distT="0" distB="0" distL="114300" distR="114300" simplePos="0" relativeHeight="251658752" behindDoc="1" locked="1" layoutInCell="1" allowOverlap="1" wp14:editId="254672FC" wp14:anchorId="52C5ADD3">
          <wp:simplePos x="0" y="0"/>
          <wp:positionH relativeFrom="margin">
            <wp:posOffset>0</wp:posOffset>
          </wp:positionH>
          <wp:positionV relativeFrom="paragraph">
            <wp:posOffset>-47625</wp:posOffset>
          </wp:positionV>
          <wp:extent cx="1106170" cy="247015"/>
          <wp:effectExtent l="0" t="0" r="0" b="635"/>
          <wp:wrapNone/>
          <wp:docPr id="2067" name="Picture 3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 name="Picture 36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106170" cy="247015"/>
                  </a:xfrm>
                  <a:prstGeom prst="rect">
                    <a:avLst/>
                  </a:prstGeom>
                  <a:noFill/>
                  <a:ln>
                    <a:noFill/>
                  </a:ln>
                </pic:spPr>
              </pic:pic>
            </a:graphicData>
          </a:graphic>
        </wp:anchor>
      </w:drawing>
    </w:r>
  </w:p>
  <w:p w:rsidR="00E632DB" w:rsidP="00C93F3B" w:rsidRDefault="000D00E3" w14:paraId="7C65E746" w14:textId="170EA5AC">
    <w:pPr>
      <w:pStyle w:val="Footer"/>
    </w:pPr>
    <w:r>
      <w:rPr>
        <w:noProof/>
      </w:rPr>
      <w:pict w14:anchorId="10013C8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 style="position:absolute;margin-left:.25pt;margin-top:-.25pt;width:86.9pt;height:19.2pt;z-index:-251653632;visibility:visible;mso-wrap-style:square;mso-wrap-distance-left:9pt;mso-wrap-distance-top:0;mso-wrap-distance-right:9pt;mso-wrap-distance-bottom:0;mso-position-horizontal:absolute;mso-position-horizontal-relative:text;mso-position-vertical:absolute;mso-position-vertical-relative:text" alt="" o:spid="_x0000_s28676" type="#_x0000_t75">
          <v:imagedata o:title="" r:id="rId2"/>
        </v:shape>
      </w:pict>
    </w:r>
  </w:p>
</w:ftr>
</file>

<file path=word/footer6.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33EC" w:rsidP="00D833EC" w:rsidRDefault="00D833EC" w14:paraId="28FFA8C4" w14:textId="77777777">
    <w:pPr>
      <w:pStyle w:val="Footer"/>
      <w:tabs>
        <w:tab w:val="center" w:pos="5400"/>
        <w:tab w:val="right" w:pos="10800"/>
      </w:tabs>
      <w:rPr>
        <w:rFonts w:ascii="Arial" w:hAnsi="Arial" w:cs="Arial"/>
        <w:noProof/>
        <w:sz w:val="20"/>
      </w:rPr>
    </w:pPr>
    <w:r>
      <w:rPr>
        <w:rFonts w:ascii="Arial" w:hAnsi="Arial" w:cs="Arial"/>
        <w:sz w:val="20"/>
      </w:rPr>
      <w:tab/>
    </w:r>
    <w:r>
      <w:rPr>
        <w:rFonts w:ascii="Arial" w:hAnsi="Arial" w:cs="Arial"/>
        <w:sz w:val="20"/>
      </w:rPr>
      <w:tab/>
    </w:r>
    <w:r w:rsidRPr="00BE4A98">
      <w:rPr>
        <w:rFonts w:ascii="Arial" w:hAnsi="Arial" w:cs="Arial"/>
        <w:sz w:val="20"/>
      </w:rPr>
      <w:fldChar w:fldCharType="begin"/>
    </w:r>
    <w:r w:rsidRPr="00BE4A98">
      <w:rPr>
        <w:rFonts w:ascii="Arial" w:hAnsi="Arial" w:cs="Arial"/>
        <w:sz w:val="20"/>
      </w:rPr>
      <w:instrText xml:space="preserve"> PAGE   \* MERGEFORMAT </w:instrText>
    </w:r>
    <w:r w:rsidRPr="00BE4A98">
      <w:rPr>
        <w:rFonts w:ascii="Arial" w:hAnsi="Arial" w:cs="Arial"/>
        <w:sz w:val="20"/>
      </w:rPr>
      <w:fldChar w:fldCharType="separate"/>
    </w:r>
    <w:r w:rsidRPr="00BE4A98">
      <w:rPr>
        <w:rFonts w:ascii="Arial" w:hAnsi="Arial" w:cs="Arial"/>
        <w:noProof/>
        <w:sz w:val="20"/>
      </w:rPr>
      <w:t>48</w:t>
    </w:r>
    <w:r w:rsidRPr="00BE4A98">
      <w:rPr>
        <w:rFonts w:ascii="Arial" w:hAnsi="Arial" w:cs="Arial"/>
        <w:noProof/>
        <w:sz w:val="20"/>
      </w:rPr>
      <w:fldChar w:fldCharType="end"/>
    </w:r>
    <w:r w:rsidRPr="00BE4A98">
      <w:rPr>
        <w:rFonts w:ascii="Arial" w:hAnsi="Arial" w:cs="Arial"/>
        <w:noProof/>
        <w:sz w:val="20"/>
      </w:rPr>
      <w:drawing>
        <wp:anchor distT="0" distB="0" distL="114300" distR="114300" simplePos="0" relativeHeight="251666944" behindDoc="1" locked="1" layoutInCell="1" allowOverlap="1" wp14:editId="1F6B8A95" wp14:anchorId="002ED344">
          <wp:simplePos x="0" y="0"/>
          <wp:positionH relativeFrom="margin">
            <wp:posOffset>0</wp:posOffset>
          </wp:positionH>
          <wp:positionV relativeFrom="paragraph">
            <wp:posOffset>-47625</wp:posOffset>
          </wp:positionV>
          <wp:extent cx="1106170" cy="247015"/>
          <wp:effectExtent l="0" t="0" r="0" b="635"/>
          <wp:wrapNone/>
          <wp:docPr id="2" name="Picture 3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 name="Picture 36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106170" cy="247015"/>
                  </a:xfrm>
                  <a:prstGeom prst="rect">
                    <a:avLst/>
                  </a:prstGeom>
                  <a:noFill/>
                  <a:ln>
                    <a:noFill/>
                  </a:ln>
                </pic:spPr>
              </pic:pic>
            </a:graphicData>
          </a:graphic>
        </wp:anchor>
      </w:drawing>
    </w:r>
  </w:p>
  <w:p w:rsidR="00D833EC" w:rsidP="00C93F3B" w:rsidRDefault="000D00E3" w14:paraId="72FA1CC6" w14:textId="77777777">
    <w:pPr>
      <w:pStyle w:val="Footer"/>
    </w:pPr>
    <w:r>
      <w:rPr>
        <w:noProof/>
      </w:rPr>
      <w:pict w14:anchorId="28DFB3C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8677" style="position:absolute;margin-left:.25pt;margin-top:-.25pt;width:86.9pt;height:19.2pt;z-index:-251648512;visibility:visible;mso-wrap-style:square;mso-wrap-distance-left:9pt;mso-wrap-distance-top:0;mso-wrap-distance-right:9pt;mso-wrap-distance-bottom:0;mso-position-horizontal:absolute;mso-position-horizontal-relative:text;mso-position-vertical:absolute;mso-position-vertical-relative:text" alt="" type="#_x0000_t75">
          <v:imagedata o:title="" r:id="rId2"/>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0EAC" w:rsidRDefault="00DC0EAC" w14:paraId="6C55D2B6" w14:textId="77777777">
      <w:r>
        <w:separator/>
      </w:r>
    </w:p>
  </w:footnote>
  <w:footnote w:type="continuationSeparator" w:id="0">
    <w:p w:rsidR="00DC0EAC" w:rsidRDefault="00DC0EAC" w14:paraId="338180BC" w14:textId="77777777">
      <w:r>
        <w:continuationSeparator/>
      </w:r>
    </w:p>
  </w:footnote>
  <w:footnote w:id="1">
    <w:p w:rsidRPr="00C678FA" w:rsidR="00DC0EAC" w:rsidRDefault="00DC0EAC" w14:paraId="0A348670" w14:textId="77777777">
      <w:pPr>
        <w:pStyle w:val="FootnoteText"/>
        <w:ind w:left="360" w:hanging="360"/>
        <w:rPr>
          <w:sz w:val="18"/>
          <w:szCs w:val="18"/>
        </w:rPr>
      </w:pPr>
      <w:r w:rsidRPr="00C678FA">
        <w:rPr>
          <w:rStyle w:val="FootnoteReference"/>
          <w:sz w:val="18"/>
          <w:szCs w:val="18"/>
        </w:rPr>
        <w:footnoteRef/>
      </w:r>
      <w:r w:rsidRPr="00C678FA">
        <w:rPr>
          <w:sz w:val="18"/>
          <w:szCs w:val="18"/>
        </w:rPr>
        <w:t xml:space="preserve"> </w:t>
      </w:r>
      <w:r w:rsidRPr="00C678FA">
        <w:rPr>
          <w:sz w:val="18"/>
          <w:szCs w:val="18"/>
        </w:rPr>
        <w:tab/>
        <w:t>The company must revise the information on the Notice of Internet Availability, including any title to the document, if the company is conducting a consent solicitation rather than a proxy solicitation or is not soliciting proxies or consents.</w:t>
      </w:r>
    </w:p>
  </w:footnote>
  <w:footnote w:id="2">
    <w:p w:rsidRPr="00C678FA" w:rsidR="00DC0EAC" w:rsidRDefault="00DC0EAC" w14:paraId="1C163DDF" w14:textId="77777777">
      <w:pPr>
        <w:pStyle w:val="FootnoteText"/>
        <w:rPr>
          <w:sz w:val="18"/>
          <w:szCs w:val="18"/>
        </w:rPr>
      </w:pPr>
      <w:r w:rsidRPr="00C678FA">
        <w:rPr>
          <w:rStyle w:val="FootnoteReference"/>
          <w:sz w:val="18"/>
          <w:szCs w:val="18"/>
        </w:rPr>
        <w:footnoteRef/>
      </w:r>
      <w:r w:rsidRPr="00C678FA">
        <w:rPr>
          <w:sz w:val="18"/>
          <w:szCs w:val="18"/>
        </w:rPr>
        <w:t xml:space="preserve"> </w:t>
      </w:r>
      <w:r w:rsidRPr="00C678FA">
        <w:rPr>
          <w:sz w:val="18"/>
          <w:szCs w:val="18"/>
        </w:rPr>
        <w:tab/>
        <w:t>The website address must be specific enough to lead stockholders directly to the proxy materials, rather than to the home page or other section of the website on which the proxy materials are posted, so that stockholders do not have to browse the website to find the materials.</w:t>
      </w:r>
      <w:r>
        <w:rPr>
          <w:sz w:val="18"/>
          <w:szCs w:val="18"/>
        </w:rPr>
        <w:t xml:space="preserve"> </w:t>
      </w:r>
      <w:r w:rsidRPr="00C678FA">
        <w:rPr>
          <w:sz w:val="18"/>
          <w:szCs w:val="18"/>
        </w:rPr>
        <w:t>The website could be a central site with prominent links to each of the proxy-related disclosure documents listed in the Notice, as well as proxy materials posted on the website after the Notice is sent.</w:t>
      </w:r>
    </w:p>
  </w:footnote>
  <w:footnote w:id="3">
    <w:p w:rsidRPr="00C678FA" w:rsidR="00DC0EAC" w:rsidRDefault="00DC0EAC" w14:paraId="1C505CEB" w14:textId="77777777">
      <w:pPr>
        <w:pStyle w:val="FootnoteText"/>
      </w:pPr>
      <w:r w:rsidRPr="00C678FA">
        <w:rPr>
          <w:rStyle w:val="FootnoteReference"/>
          <w:sz w:val="18"/>
          <w:szCs w:val="18"/>
        </w:rPr>
        <w:footnoteRef/>
      </w:r>
      <w:r w:rsidRPr="00C678FA">
        <w:rPr>
          <w:sz w:val="18"/>
          <w:szCs w:val="18"/>
        </w:rPr>
        <w:t xml:space="preserve"> </w:t>
      </w:r>
      <w:r w:rsidRPr="00C678FA">
        <w:rPr>
          <w:sz w:val="18"/>
          <w:szCs w:val="18"/>
        </w:rPr>
        <w:tab/>
        <w:t>If householding is used for the Notices, then separate identification and control numbers for each account at the shared address must be provided.</w:t>
      </w:r>
    </w:p>
  </w:footnote>
  <w:footnote w:id="4">
    <w:p w:rsidRPr="00C678FA" w:rsidR="00DC0EAC" w:rsidRDefault="00DC0EAC" w14:paraId="52097318" w14:textId="77777777">
      <w:pPr>
        <w:pStyle w:val="FootnoteText"/>
        <w:rPr>
          <w:sz w:val="18"/>
          <w:szCs w:val="18"/>
        </w:rPr>
      </w:pPr>
      <w:r w:rsidRPr="00C678FA">
        <w:rPr>
          <w:rStyle w:val="FootnoteReference"/>
          <w:sz w:val="18"/>
          <w:szCs w:val="18"/>
        </w:rPr>
        <w:footnoteRef/>
      </w:r>
      <w:r w:rsidRPr="00C678FA">
        <w:rPr>
          <w:sz w:val="18"/>
          <w:szCs w:val="18"/>
        </w:rPr>
        <w:t xml:space="preserve"> </w:t>
      </w:r>
      <w:r w:rsidRPr="00C678FA">
        <w:rPr>
          <w:sz w:val="18"/>
          <w:szCs w:val="18"/>
        </w:rPr>
        <w:tab/>
        <w:t>The company must revise the information on the Notice of Internet Availability, including any title to the document, if the company is conducting a consent solicitation rather than a proxy solicitation or is not soliciting proxies or consents.</w:t>
      </w:r>
    </w:p>
  </w:footnote>
  <w:footnote w:id="5">
    <w:p w:rsidRPr="00C678FA" w:rsidR="00DC0EAC" w:rsidRDefault="00DC0EAC" w14:paraId="4F9143BF" w14:textId="77777777">
      <w:pPr>
        <w:pStyle w:val="FootnoteText"/>
        <w:rPr>
          <w:sz w:val="18"/>
          <w:szCs w:val="18"/>
        </w:rPr>
      </w:pPr>
      <w:r w:rsidRPr="00C678FA">
        <w:rPr>
          <w:rStyle w:val="FootnoteReference"/>
          <w:sz w:val="18"/>
          <w:szCs w:val="18"/>
        </w:rPr>
        <w:footnoteRef/>
      </w:r>
      <w:r w:rsidRPr="00C678FA">
        <w:rPr>
          <w:sz w:val="18"/>
          <w:szCs w:val="18"/>
        </w:rPr>
        <w:t xml:space="preserve"> </w:t>
      </w:r>
      <w:r w:rsidRPr="00C678FA">
        <w:rPr>
          <w:sz w:val="18"/>
          <w:szCs w:val="18"/>
        </w:rPr>
        <w:tab/>
        <w:t>The website address must be specific enough to lead stockholders directly to the proxy materials, rather than to the home page or other section of the website on which the proxy materials are posted, so that stockholders do not have to browse the website to find the materials.</w:t>
      </w:r>
      <w:r>
        <w:rPr>
          <w:sz w:val="18"/>
          <w:szCs w:val="18"/>
        </w:rPr>
        <w:t xml:space="preserve"> </w:t>
      </w:r>
      <w:r w:rsidRPr="00C678FA">
        <w:rPr>
          <w:sz w:val="18"/>
          <w:szCs w:val="18"/>
        </w:rPr>
        <w:t>The website could be a central site with prominent links to each of the proxy-related disclosure documents listed in the Notice, as well as proxy materials posted on the website after the Notice is sent.</w:t>
      </w:r>
    </w:p>
  </w:footnote>
  <w:footnote w:id="6">
    <w:p w:rsidRPr="00C678FA" w:rsidR="00DC0EAC" w:rsidRDefault="00DC0EAC" w14:paraId="12E0E309" w14:textId="77777777">
      <w:pPr>
        <w:pStyle w:val="FootnoteText"/>
      </w:pPr>
      <w:r w:rsidRPr="00C678FA">
        <w:rPr>
          <w:rStyle w:val="FootnoteReference"/>
          <w:sz w:val="18"/>
          <w:szCs w:val="18"/>
        </w:rPr>
        <w:footnoteRef/>
      </w:r>
      <w:r w:rsidRPr="00C678FA">
        <w:rPr>
          <w:sz w:val="18"/>
          <w:szCs w:val="18"/>
        </w:rPr>
        <w:t xml:space="preserve"> </w:t>
      </w:r>
      <w:r w:rsidRPr="00C678FA">
        <w:rPr>
          <w:sz w:val="18"/>
          <w:szCs w:val="18"/>
        </w:rPr>
        <w:tab/>
        <w:t>If householding is used for the Notices, then separate identification and control numbers for each account at the shared address must be provided.</w:t>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708F1" w:rsidR="00E708F1" w:rsidP="000A2138" w:rsidRDefault="00E708F1" w14:paraId="7C026D0A" w14:textId="446452D7">
    <w:pPr>
      <w:ind w:right="90"/>
      <w:jc w:val="right"/>
      <w:rPr>
        <w:b/>
        <w:bCs/>
        <w:sz w:val="28"/>
        <w:szCs w:val="28"/>
      </w:rPr>
    </w:pPr>
    <w:r w:rsidRPr="00E708F1">
      <w:rPr>
        <w:b/>
        <w:bCs/>
        <w:noProof/>
        <w:sz w:val="28"/>
        <w:szCs w:val="28"/>
      </w:rPr>
      <w:drawing>
        <wp:anchor distT="0" distB="0" distL="114300" distR="114300" simplePos="0" relativeHeight="251654656" behindDoc="1" locked="0" layoutInCell="1" allowOverlap="1" wp14:editId="46DFF136" wp14:anchorId="7C4AA0C5">
          <wp:simplePos x="0" y="0"/>
          <wp:positionH relativeFrom="margin">
            <wp:posOffset>38700</wp:posOffset>
          </wp:positionH>
          <wp:positionV relativeFrom="paragraph">
            <wp:posOffset>-42164</wp:posOffset>
          </wp:positionV>
          <wp:extent cx="9119616" cy="384170"/>
          <wp:effectExtent l="0" t="0" r="0" b="0"/>
          <wp:wrapNone/>
          <wp:docPr id="16" name="Picture 9" descr="" 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8" name="Picture 9"/>
                  <pic:cNvPicPr>
                    <a:picLocks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119616" cy="38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08F1">
      <w:rPr>
        <w:b/>
        <w:bCs/>
        <w:color w:val="FFFFFF" w:themeColor="background1"/>
        <w:sz w:val="28"/>
        <w:szCs w:val="28"/>
      </w:rPr>
    </w:r>
  </w:p>
  <w:p w:rsidR="00DC0EAC" w:rsidP="00BE4A98" w:rsidRDefault="00DC0EAC" w14:paraId="133E8E79" w14:textId="41B12850">
    <w:pPr>
      <w:pStyle w:val="Header"/>
      <w:ind w:right="180"/>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64EA5" w:rsidR="00DC0EAC" w:rsidP="0005457D" w:rsidRDefault="00BF5A7C" w14:paraId="1224C3BB" w14:textId="42F9CB82">
    <w:pPr>
      <w:pStyle w:val="Header"/>
    </w:pPr>
    <w:r>
      <w:rPr>
        <w:noProof/>
      </w:rPr>
      <mc:AlternateContent>
        <mc:Choice Requires="wps">
          <w:drawing>
            <wp:anchor distT="0" distB="0" distL="114300" distR="114300" simplePos="0" relativeHeight="251659776" behindDoc="0" locked="0" layoutInCell="1" allowOverlap="1" wp14:editId="1EEAA467" wp14:anchorId="3E152325">
              <wp:simplePos x="0" y="0"/>
              <wp:positionH relativeFrom="column">
                <wp:posOffset>6031281</wp:posOffset>
              </wp:positionH>
              <wp:positionV relativeFrom="paragraph">
                <wp:posOffset>726510</wp:posOffset>
              </wp:positionV>
              <wp:extent cx="3031003" cy="370840"/>
              <wp:effectExtent l="0" t="0" r="0" b="0"/>
              <wp:wrapNone/>
              <wp:docPr id="4" name="Text Box 4" descr="" title=""/>
              <wp:cNvGraphicFramePr/>
              <a:graphic xmlns:a="http://schemas.openxmlformats.org/drawingml/2006/main">
                <a:graphicData uri="http://schemas.microsoft.com/office/word/2010/wordprocessingShape">
                  <wps:wsp>
                    <wps:cNvSpPr txBox="1"/>
                    <wps:spPr>
                      <a:xfrm>
                        <a:off x="0" y="0"/>
                        <a:ext cx="3031003" cy="370840"/>
                      </a:xfrm>
                      <a:prstGeom prst="rect">
                        <a:avLst/>
                      </a:prstGeom>
                      <a:noFill/>
                      <a:ln w="6350">
                        <a:noFill/>
                      </a:ln>
                    </wps:spPr>
                    <wps:txbx>
                      <w:txbxContent>
                        <w:p w:rsidR="00DC0EAC" w:rsidP="00B23C24" w:rsidRDefault="00B23C24" w14:paraId="2BFD73EB" w14:textId="1F7180A2">
                          <w:pPr>
                            <w:jc w:val="right"/>
                          </w:pPr>
                          <w:r>
                            <w:rPr>
                              <w:rFonts w:ascii="Arial" w:hAnsi="Arial" w:cs="Arial"/>
                              <w:b/>
                              <w:bCs/>
                              <w:sz w:val="32"/>
                              <w:szCs w:val="32"/>
                            </w:rPr>
                            <w:t>2022 Annual Meetings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3E152325">
              <v:stroke joinstyle="miter"/>
              <v:path gradientshapeok="t" o:connecttype="rect"/>
            </v:shapetype>
            <v:shape id="Text Box 4" style="position:absolute;margin-left:474.9pt;margin-top:57.2pt;width:238.65pt;height:29.2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l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">
              <v:textbox>
                <w:txbxContent>
                  <w:p w:rsidR="00DC0EAC" w:rsidP="00B23C24" w:rsidRDefault="00B23C24" w14:paraId="2BFD73EB" w14:textId="1F7180A2">
                    <w:pPr>
                      <w:jc w:val="right"/>
                    </w:pPr>
                    <w:r>
                      <w:rPr>
                        <w:rFonts w:ascii="Arial" w:hAnsi="Arial" w:cs="Arial"/>
                        <w:b/>
                        <w:bCs/>
                        <w:sz w:val="32"/>
                        <w:szCs w:val="32"/>
                      </w:rPr>
                      <w:t>2022 Annual Meetings</w:t>
                    </w:r>
                  </w:p>
                </w:txbxContent>
              </v:textbox>
            </v:shape>
          </w:pict>
        </mc:Fallback>
      </mc:AlternateContent>
    </w:r>
    <w:r>
      <w:rPr>
        <w:noProof/>
      </w:rPr>
      <mc:AlternateContent>
        <mc:Choice Requires="wps">
          <w:drawing>
            <wp:anchor distT="45720" distB="45720" distL="114300" distR="114300" simplePos="0" relativeHeight="251652608" behindDoc="0" locked="0" layoutInCell="1" allowOverlap="1" wp14:editId="4AAF1E79" wp14:anchorId="392A3BA6">
              <wp:simplePos x="0" y="0"/>
              <wp:positionH relativeFrom="column">
                <wp:posOffset>4240059</wp:posOffset>
              </wp:positionH>
              <wp:positionV relativeFrom="paragraph">
                <wp:posOffset>338203</wp:posOffset>
              </wp:positionV>
              <wp:extent cx="4841275" cy="405130"/>
              <wp:effectExtent l="0" t="0" r="0" b="0"/>
              <wp:wrapNone/>
              <wp:docPr id="217"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275" cy="405130"/>
                      </a:xfrm>
                      <a:prstGeom prst="rect">
                        <a:avLst/>
                      </a:prstGeom>
                      <a:noFill/>
                      <a:ln w="9525">
                        <a:noFill/>
                        <a:miter lim="800000"/>
                        <a:headEnd/>
                        <a:tailEnd/>
                      </a:ln>
                    </wps:spPr>
                    <wps:txbx>
                      <w:txbxContent>
                        <w:p w:rsidRPr="00E02E8A" w:rsidR="00DC0EAC" w:rsidP="00E02E8A" w:rsidRDefault="00DC0EAC" w14:paraId="652CD90D" w14:textId="42016A2B">
                          <w:pPr>
                            <w:rPr>
                              <w:rFonts w:ascii="Arial" w:hAnsi="Arial" w:cs="Arial"/>
                              <w:b/>
                              <w:bCs/>
                              <w:color w:val="FFFFFF" w:themeColor="background1"/>
                              <w:sz w:val="48"/>
                              <w:szCs w:val="48"/>
                            </w:rPr>
                          </w:pPr>
                          <w:r w:rsidRPr="00E02E8A">
                            <w:rPr>
                              <w:rFonts w:ascii="Arial" w:hAnsi="Arial" w:cs="Arial"/>
                              <w:b/>
                              <w:bCs/>
                              <w:color w:val="FFFFFF" w:themeColor="background1"/>
                              <w:sz w:val="48"/>
                              <w:szCs w:val="48"/>
                            </w:rP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33.85pt;margin-top:26.65pt;width:381.2pt;height:31.9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" w14:anchorId="392A3BA6">
              <v:textbox>
                <w:txbxContent>
                  <w:p w:rsidRPr="00E02E8A" w:rsidR="00DC0EAC" w:rsidP="00E02E8A" w:rsidRDefault="00DC0EAC" w14:paraId="652CD90D" w14:textId="42016A2B">
                    <w:pPr>
                      <w:rPr>
                        <w:rFonts w:ascii="Arial" w:hAnsi="Arial" w:cs="Arial"/>
                        <w:b/>
                        <w:bCs/>
                        <w:color w:val="FFFFFF" w:themeColor="background1"/>
                        <w:sz w:val="48"/>
                        <w:szCs w:val="48"/>
                      </w:rPr>
                    </w:pPr>
                    <w:r w:rsidRPr="00E02E8A">
                      <w:rPr>
                        <w:rFonts w:ascii="Arial" w:hAnsi="Arial" w:cs="Arial"/>
                        <w:b/>
                        <w:bCs/>
                        <w:color w:val="FFFFFF" w:themeColor="background1"/>
                        <w:sz w:val="48"/>
                        <w:szCs w:val="48"/>
                      </w:rPr>
                    </w:r>
                  </w:p>
                </w:txbxContent>
              </v:textbox>
            </v:shape>
          </w:pict>
        </mc:Fallback>
      </mc:AlternateContent>
    </w:r>
    <w:r w:rsidR="00DC0EAC">
      <w:rPr>
        <w:noProof/>
      </w:rPr>
      <w:drawing>
        <wp:inline distT="0" distB="0" distL="0" distR="0" wp14:anchorId="635BF27D" wp14:editId="2A15DB62">
          <wp:extent cx="9144000" cy="1261745"/>
          <wp:effectExtent l="0" t="0" r="0" b="0"/>
          <wp:docPr id="18" name="Picture 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150196" cy="1262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0EAC" w:rsidRDefault="00DC0EAC" w14:paraId="6E258748" w14:textId="77777777">
    <w:pPr>
      <w:pStyle w:val="Header"/>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E476B" w:rsidR="00DC0EAC" w:rsidP="000A2138" w:rsidRDefault="00DC0EAC" w14:paraId="64921418" w14:textId="02227F6C">
    <w:pPr>
      <w:pStyle w:val="GHdrSubtitle2"/>
      <w:tabs>
        <w:tab w:val="clear" w:pos="4143"/>
      </w:tabs>
      <w:spacing w:before="120"/>
      <w:ind w:left="1350" w:right="180"/>
      <w:jc w:val="right"/>
    </w:pPr>
    <w:r>
      <w:rPr>
        <w:noProof/>
      </w:rPr>
      <w:drawing>
        <wp:anchor distT="0" distB="0" distL="114300" distR="114300" simplePos="0" relativeHeight="251656704" behindDoc="1" locked="1" layoutInCell="1" allowOverlap="1" wp14:editId="74E73282" wp14:anchorId="31390E52">
          <wp:simplePos x="0" y="0"/>
          <wp:positionH relativeFrom="page">
            <wp:align>center</wp:align>
          </wp:positionH>
          <wp:positionV relativeFrom="page">
            <wp:posOffset>457200</wp:posOffset>
          </wp:positionV>
          <wp:extent cx="6729730" cy="475615"/>
          <wp:effectExtent l="0" t="0" r="0" b="0"/>
          <wp:wrapNone/>
          <wp:docPr id="206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 name="Picture 1"/>
                  <pic:cNvPicPr>
                    <a:picLocks noChangeAspect="1" noChangeArrowheads="1"/>
                  </pic:cNvPicPr>
                </pic:nvPicPr>
                <pic:blipFill>
                  <a:blip r:embed="rId1">
                    <a:extLst>
                      <a:ext uri="{28A0092B-C50C-407E-A947-70E740481C1C}">
                        <a14:useLocalDpi xmlns:a14="http://schemas.microsoft.com/office/drawing/2010/main" val="0"/>
                      </a:ext>
                    </a:extLst>
                  </a:blip>
                  <a:srcRect r="6369"/>
                  <a:stretch>
                    <a:fillRect/>
                  </a:stretch>
                </pic:blipFill>
                <pic:spPr>
                  <a:xfrm>
                    <a:off x="0" y="0"/>
                    <a:ext cx="6729730" cy="475615"/>
                  </a:xfrm>
                  <a:prstGeom prst="rect">
                    <a:avLst/>
                  </a:prstGeom>
                  <a:noFill/>
                  <a:ln>
                    <a:noFill/>
                  </a:ln>
                </pic:spPr>
              </pic:pic>
            </a:graphicData>
          </a:graphic>
        </wp:anchor>
      </w:drawing>
    </w:r>
    <w: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Spec="center" w:tblpYSpec="top"/>
      <w:tblOverlap w:val="neve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080"/>
    </w:tblGrid>
    <w:tr w:rsidR="00DC0EAC" w:rsidTr="006F7143" w14:paraId="28B36793" w14:textId="77777777">
      <w:tc>
        <w:tcPr>
          <w:tcW w:w="5000" w:type="pct"/>
          <w:tcBorders>
            <w:top w:val="nil"/>
            <w:left w:val="nil"/>
            <w:bottom w:val="nil"/>
            <w:right w:val="nil"/>
          </w:tcBorders>
          <w:shd w:val="clear" w:color="auto" w:fill="auto"/>
        </w:tcPr>
        <w:p w:rsidRPr="004F1595" w:rsidR="00DC0EAC" w:rsidP="000C3BFA" w:rsidRDefault="00DC0EAC" w14:paraId="023E3CE9" w14:textId="1CF3A7E0">
          <w:pPr>
            <w:pStyle w:val="Heading1"/>
            <w:spacing w:before="520" w:after="200"/>
            <w:ind w:left="1440"/>
            <w:jc w:val="right"/>
            <w:rPr>
              <w:rFonts w:ascii="Arial Bold" w:hAnsi="Arial Bold"/>
              <w:caps/>
              <w:color w:val="FFFFFF"/>
              <w:sz w:val="44"/>
              <w:u w:val="none"/>
            </w:rPr>
          </w:pPr>
          <w:r w:rsidRPr="009D6DAE">
            <w:rPr>
              <w:rFonts w:ascii="Arial Bold" w:hAnsi="Arial Bold"/>
              <w:caps/>
              <w:color w:val="FFFFFF"/>
              <w:sz w:val="44"/>
            </w:rPr>
            <w:br/>
          </w:r>
          <w:r>
            <w:rPr>
              <w:rFonts w:ascii="Arial Bold" w:hAnsi="Arial Bold"/>
              <w:caps/>
              <w:color w:val="FFFFFF"/>
              <w:sz w:val="44"/>
              <w:u w:val="none"/>
            </w:rPr>
          </w:r>
        </w:p>
      </w:tc>
    </w:tr>
    <w:tr w:rsidR="00DC0EAC" w:rsidTr="006F7143" w14:paraId="62D2C8EF" w14:textId="77777777">
      <w:trPr>
        <w:trHeight w:val="783"/>
      </w:trPr>
      <w:tc>
        <w:tcPr>
          <w:tcW w:w="5000" w:type="pct"/>
          <w:tcBorders>
            <w:top w:val="nil"/>
            <w:left w:val="nil"/>
            <w:bottom w:val="nil"/>
            <w:right w:val="nil"/>
          </w:tcBorders>
          <w:shd w:val="clear" w:color="auto" w:fill="auto"/>
        </w:tcPr>
        <w:p w:rsidRPr="00451F36" w:rsidR="00DC0EAC" w:rsidP="000A2138" w:rsidRDefault="00DC0EAC" w14:paraId="05993D56" w14:textId="77777777">
          <w:pPr>
            <w:pStyle w:val="HeadingSubtitle-TOC2"/>
            <w:spacing w:before="0" w:after="0"/>
            <w:jc w:val="right"/>
          </w:pPr>
          <w:r w:rsidRPr="00213E5F">
            <w:t>FOR 20</w:t>
          </w:r>
          <w:r>
            <w:t>22</w:t>
          </w:r>
          <w:r w:rsidRPr="00213E5F">
            <w:t xml:space="preserve"> ANNUAL MEETINGS</w:t>
          </w:r>
        </w:p>
      </w:tc>
    </w:tr>
  </w:tbl>
  <w:p w:rsidRPr="00E146A3" w:rsidR="00DC0EAC" w:rsidP="000A2138" w:rsidRDefault="00DC0EAC" w14:paraId="4B73579C" w14:textId="77777777">
    <w:r>
      <w:rPr>
        <w:noProof/>
      </w:rPr>
      <w:drawing>
        <wp:anchor distT="0" distB="0" distL="114300" distR="114300" simplePos="0" relativeHeight="251655680" behindDoc="1" locked="1" layoutInCell="1" allowOverlap="0" wp14:editId="531F9D58" wp14:anchorId="17860726">
          <wp:simplePos x="0" y="0"/>
          <wp:positionH relativeFrom="page">
            <wp:align>center</wp:align>
          </wp:positionH>
          <wp:positionV relativeFrom="page">
            <wp:posOffset>274320</wp:posOffset>
          </wp:positionV>
          <wp:extent cx="6848856" cy="1261872"/>
          <wp:effectExtent l="0" t="0" r="0" b="0"/>
          <wp:wrapNone/>
          <wp:docPr id="2059" name="Picture 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6848856" cy="12618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E476B" w:rsidR="00DC0EAC" w:rsidP="00137BE5" w:rsidRDefault="00DC0EAC" w14:paraId="7BC2697D" w14:textId="77777777">
    <w:pPr>
      <w:pStyle w:val="GHdrSubtitle2"/>
      <w:spacing w:before="120"/>
      <w:ind w:left="1350"/>
    </w:pPr>
    <w:r>
      <w:rPr>
        <w:noProof/>
      </w:rPr>
      <w:drawing>
        <wp:anchor distT="0" distB="0" distL="114300" distR="114300" simplePos="0" relativeHeight="251657728" behindDoc="1" locked="1" layoutInCell="1" allowOverlap="1" wp14:editId="1647231D" wp14:anchorId="0027E9F6">
          <wp:simplePos x="0" y="0"/>
          <wp:positionH relativeFrom="page">
            <wp:align>center</wp:align>
          </wp:positionH>
          <wp:positionV relativeFrom="page">
            <wp:posOffset>457200</wp:posOffset>
          </wp:positionV>
          <wp:extent cx="6729730" cy="475615"/>
          <wp:effectExtent l="0" t="0" r="0" b="0"/>
          <wp:wrapNone/>
          <wp:docPr id="2066"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 name="Picture 1"/>
                  <pic:cNvPicPr>
                    <a:picLocks noChangeAspect="1" noChangeArrowheads="1"/>
                  </pic:cNvPicPr>
                </pic:nvPicPr>
                <pic:blipFill>
                  <a:blip r:embed="rId1">
                    <a:extLst>
                      <a:ext uri="{28A0092B-C50C-407E-A947-70E740481C1C}">
                        <a14:useLocalDpi xmlns:a14="http://schemas.microsoft.com/office/drawing/2010/main" val="0"/>
                      </a:ext>
                    </a:extLst>
                  </a:blip>
                  <a:srcRect r="6369"/>
                  <a:stretch>
                    <a:fillRect/>
                  </a:stretch>
                </pic:blipFill>
                <pic:spPr>
                  <a:xfrm>
                    <a:off x="0" y="0"/>
                    <a:ext cx="6729730" cy="475615"/>
                  </a:xfrm>
                  <a:prstGeom prst="rect">
                    <a:avLst/>
                  </a:prstGeom>
                  <a:noFill/>
                  <a:ln>
                    <a:noFill/>
                  </a:ln>
                </pic:spPr>
              </pic:pic>
            </a:graphicData>
          </a:graphic>
        </wp:anchor>
      </w:drawing>
    </w:r>
    <w:r/>
  </w:p>
</w:hdr>
</file>

<file path=word/header7.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Spec="center" w:tblpYSpec="top"/>
      <w:tblOverlap w:val="neve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080"/>
    </w:tblGrid>
    <w:tr w:rsidR="00D833EC" w:rsidTr="006F7143" w14:paraId="7121F638" w14:textId="77777777">
      <w:tc>
        <w:tcPr>
          <w:tcW w:w="5000" w:type="pct"/>
          <w:tcBorders>
            <w:top w:val="nil"/>
            <w:left w:val="nil"/>
            <w:bottom w:val="nil"/>
            <w:right w:val="nil"/>
          </w:tcBorders>
          <w:shd w:val="clear" w:color="auto" w:fill="auto"/>
        </w:tcPr>
        <w:p w:rsidRPr="004F1595" w:rsidR="00D833EC" w:rsidP="000C3BFA" w:rsidRDefault="00D833EC" w14:paraId="3ACD4D79" w14:textId="77777777">
          <w:pPr>
            <w:pStyle w:val="Heading1"/>
            <w:spacing w:before="520" w:after="200"/>
            <w:ind w:left="1440"/>
            <w:jc w:val="right"/>
            <w:rPr>
              <w:rFonts w:ascii="Arial Bold" w:hAnsi="Arial Bold"/>
              <w:caps/>
              <w:color w:val="FFFFFF"/>
              <w:sz w:val="44"/>
              <w:u w:val="none"/>
            </w:rPr>
          </w:pPr>
          <w:r w:rsidRPr="009D6DAE">
            <w:rPr>
              <w:rFonts w:ascii="Arial Bold" w:hAnsi="Arial Bold"/>
              <w:caps/>
              <w:color w:val="FFFFFF"/>
              <w:sz w:val="44"/>
            </w:rPr>
            <w:br/>
          </w:r>
          <w:r>
            <w:rPr>
              <w:rFonts w:ascii="Arial Bold" w:hAnsi="Arial Bold"/>
              <w:caps/>
              <w:color w:val="FFFFFF"/>
              <w:sz w:val="44"/>
              <w:u w:val="none"/>
            </w:rPr>
          </w:r>
        </w:p>
      </w:tc>
    </w:tr>
    <w:tr w:rsidR="00D833EC" w:rsidTr="006F7143" w14:paraId="0AA6390C" w14:textId="77777777">
      <w:trPr>
        <w:trHeight w:val="783"/>
      </w:trPr>
      <w:tc>
        <w:tcPr>
          <w:tcW w:w="5000" w:type="pct"/>
          <w:tcBorders>
            <w:top w:val="nil"/>
            <w:left w:val="nil"/>
            <w:bottom w:val="nil"/>
            <w:right w:val="nil"/>
          </w:tcBorders>
          <w:shd w:val="clear" w:color="auto" w:fill="auto"/>
        </w:tcPr>
        <w:p w:rsidRPr="00451F36" w:rsidR="00D833EC" w:rsidP="000A2138" w:rsidRDefault="00D833EC" w14:paraId="3EEFA553" w14:textId="77777777">
          <w:pPr>
            <w:pStyle w:val="HeadingSubtitle-TOC2"/>
            <w:spacing w:before="0" w:after="0"/>
            <w:jc w:val="right"/>
          </w:pPr>
          <w:r w:rsidRPr="00213E5F">
            <w:t>FOR 20</w:t>
          </w:r>
          <w:r>
            <w:t>22</w:t>
          </w:r>
          <w:r w:rsidRPr="00213E5F">
            <w:t xml:space="preserve"> ANNUAL MEETINGS</w:t>
          </w:r>
        </w:p>
      </w:tc>
    </w:tr>
  </w:tbl>
  <w:p w:rsidRPr="00E146A3" w:rsidR="00D833EC" w:rsidP="000A2138" w:rsidRDefault="00D833EC" w14:paraId="25E7374F" w14:textId="77777777">
    <w:r>
      <w:rPr>
        <w:noProof/>
      </w:rPr>
      <w:drawing>
        <wp:anchor distT="0" distB="0" distL="114300" distR="114300" simplePos="0" relativeHeight="251664896" behindDoc="1" locked="1" layoutInCell="1" allowOverlap="0" wp14:editId="1B1CAD4B" wp14:anchorId="3241A326">
          <wp:simplePos x="0" y="0"/>
          <wp:positionH relativeFrom="page">
            <wp:align>center</wp:align>
          </wp:positionH>
          <wp:positionV relativeFrom="page">
            <wp:posOffset>274320</wp:posOffset>
          </wp:positionV>
          <wp:extent cx="6848856" cy="1261872"/>
          <wp:effectExtent l="0" t="0" r="0" b="0"/>
          <wp:wrapNone/>
          <wp:docPr id="1" name="Picture 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6848856" cy="12618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32D0F0"/>
    <w:lvl w:ilvl="0">
      <w:start w:val="1"/>
      <w:numFmt w:val="decimal"/>
      <w:pStyle w:val="ListNumber5"/>
      <w:lvlText w:val="%1."/>
      <w:lvlJc w:val="left"/>
      <w:pPr>
        <w:tabs>
          <w:tab w:val="num" w:pos="3600"/>
        </w:tabs>
        <w:ind w:left="3600" w:hanging="720"/>
      </w:pPr>
      <w:rPr>
        <w:rFonts w:hint="default"/>
      </w:rPr>
    </w:lvl>
  </w:abstractNum>
  <w:abstractNum w:abstractNumId="1" w15:restartNumberingAfterBreak="0">
    <w:nsid w:val="FFFFFF7D"/>
    <w:multiLevelType w:val="singleLevel"/>
    <w:tmpl w:val="59102246"/>
    <w:lvl w:ilvl="0">
      <w:start w:val="1"/>
      <w:numFmt w:val="decimal"/>
      <w:pStyle w:val="ListNumber4"/>
      <w:lvlText w:val="%1."/>
      <w:lvlJc w:val="left"/>
      <w:pPr>
        <w:tabs>
          <w:tab w:val="num" w:pos="2880"/>
        </w:tabs>
        <w:ind w:left="2880" w:hanging="720"/>
      </w:pPr>
      <w:rPr>
        <w:rFonts w:hint="default"/>
      </w:rPr>
    </w:lvl>
  </w:abstractNum>
  <w:abstractNum w:abstractNumId="2" w15:restartNumberingAfterBreak="0">
    <w:nsid w:val="FFFFFF7E"/>
    <w:multiLevelType w:val="singleLevel"/>
    <w:tmpl w:val="7D20ACE6"/>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3CC82FCC"/>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BF0A79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EA5198"/>
    <w:lvl w:ilvl="0">
      <w:start w:val="1"/>
      <w:numFmt w:val="bullet"/>
      <w:pStyle w:val="ListBullet4"/>
      <w:lvlText w:val="o"/>
      <w:lvlJc w:val="left"/>
      <w:pPr>
        <w:tabs>
          <w:tab w:val="num" w:pos="1080"/>
        </w:tabs>
        <w:ind w:left="1080" w:hanging="360"/>
      </w:pPr>
      <w:rPr>
        <w:rFonts w:ascii="Courier New" w:hAnsi="Courier New" w:hint="default"/>
      </w:rPr>
    </w:lvl>
  </w:abstractNum>
  <w:abstractNum w:abstractNumId="6" w15:restartNumberingAfterBreak="0">
    <w:nsid w:val="FFFFFF88"/>
    <w:multiLevelType w:val="singleLevel"/>
    <w:tmpl w:val="C5F0357A"/>
    <w:lvl w:ilvl="0">
      <w:start w:val="1"/>
      <w:numFmt w:val="decimal"/>
      <w:pStyle w:val="ListNumber"/>
      <w:lvlText w:val="%1."/>
      <w:lvlJc w:val="left"/>
      <w:pPr>
        <w:tabs>
          <w:tab w:val="num" w:pos="720"/>
        </w:tabs>
        <w:ind w:left="720" w:hanging="720"/>
      </w:pPr>
      <w:rPr>
        <w:rFonts w:hint="default"/>
        <w:b w:val="0"/>
      </w:rPr>
    </w:lvl>
  </w:abstractNum>
  <w:abstractNum w:abstractNumId="7" w15:restartNumberingAfterBreak="0">
    <w:nsid w:val="03D36185"/>
    <w:multiLevelType w:val="hybridMultilevel"/>
    <w:tmpl w:val="2E3C4370"/>
    <w:lvl w:ilvl="0" w:tplc="9CF2997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D371F0"/>
    <w:multiLevelType w:val="hybridMultilevel"/>
    <w:tmpl w:val="C888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990DF7"/>
    <w:multiLevelType w:val="hybridMultilevel"/>
    <w:tmpl w:val="D96E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E73E84"/>
    <w:multiLevelType w:val="hybridMultilevel"/>
    <w:tmpl w:val="1908900A"/>
    <w:lvl w:ilvl="0" w:tplc="3E8E3242">
      <w:start w:val="1"/>
      <w:numFmt w:val="bullet"/>
      <w:pStyle w:val="ListBullet3"/>
      <w:lvlText w:val=""/>
      <w:lvlJc w:val="left"/>
      <w:pPr>
        <w:tabs>
          <w:tab w:val="num" w:pos="1080"/>
        </w:tabs>
        <w:ind w:left="1080" w:hanging="360"/>
      </w:pPr>
      <w:rPr>
        <w:rFonts w:ascii="Symbol" w:hAnsi="Symbol" w:hint="default"/>
        <w:color w:val="auto"/>
      </w:rPr>
    </w:lvl>
    <w:lvl w:ilvl="1" w:tplc="8F146340">
      <w:start w:val="1"/>
      <w:numFmt w:val="bullet"/>
      <w:lvlText w:val="o"/>
      <w:lvlJc w:val="left"/>
      <w:pPr>
        <w:tabs>
          <w:tab w:val="num" w:pos="1440"/>
        </w:tabs>
        <w:ind w:left="1440" w:hanging="360"/>
      </w:pPr>
      <w:rPr>
        <w:rFonts w:ascii="Courier New" w:hAnsi="Courier New" w:hint="default"/>
        <w:sz w:val="20"/>
      </w:rPr>
    </w:lvl>
    <w:lvl w:ilvl="2" w:tplc="0630C01E" w:tentative="1">
      <w:start w:val="1"/>
      <w:numFmt w:val="bullet"/>
      <w:lvlText w:val=""/>
      <w:lvlJc w:val="left"/>
      <w:pPr>
        <w:tabs>
          <w:tab w:val="num" w:pos="2160"/>
        </w:tabs>
        <w:ind w:left="2160" w:hanging="360"/>
      </w:pPr>
      <w:rPr>
        <w:rFonts w:ascii="Wingdings" w:hAnsi="Wingdings" w:hint="default"/>
      </w:rPr>
    </w:lvl>
    <w:lvl w:ilvl="3" w:tplc="ED3EF83E" w:tentative="1">
      <w:start w:val="1"/>
      <w:numFmt w:val="bullet"/>
      <w:lvlText w:val=""/>
      <w:lvlJc w:val="left"/>
      <w:pPr>
        <w:tabs>
          <w:tab w:val="num" w:pos="2880"/>
        </w:tabs>
        <w:ind w:left="2880" w:hanging="360"/>
      </w:pPr>
      <w:rPr>
        <w:rFonts w:ascii="Symbol" w:hAnsi="Symbol" w:hint="default"/>
      </w:rPr>
    </w:lvl>
    <w:lvl w:ilvl="4" w:tplc="04707556" w:tentative="1">
      <w:start w:val="1"/>
      <w:numFmt w:val="bullet"/>
      <w:lvlText w:val="o"/>
      <w:lvlJc w:val="left"/>
      <w:pPr>
        <w:tabs>
          <w:tab w:val="num" w:pos="3600"/>
        </w:tabs>
        <w:ind w:left="3600" w:hanging="360"/>
      </w:pPr>
      <w:rPr>
        <w:rFonts w:ascii="Courier New" w:hAnsi="Courier New" w:hint="default"/>
      </w:rPr>
    </w:lvl>
    <w:lvl w:ilvl="5" w:tplc="FFA29F48" w:tentative="1">
      <w:start w:val="1"/>
      <w:numFmt w:val="bullet"/>
      <w:lvlText w:val=""/>
      <w:lvlJc w:val="left"/>
      <w:pPr>
        <w:tabs>
          <w:tab w:val="num" w:pos="4320"/>
        </w:tabs>
        <w:ind w:left="4320" w:hanging="360"/>
      </w:pPr>
      <w:rPr>
        <w:rFonts w:ascii="Wingdings" w:hAnsi="Wingdings" w:hint="default"/>
      </w:rPr>
    </w:lvl>
    <w:lvl w:ilvl="6" w:tplc="0AEC3DD2" w:tentative="1">
      <w:start w:val="1"/>
      <w:numFmt w:val="bullet"/>
      <w:lvlText w:val=""/>
      <w:lvlJc w:val="left"/>
      <w:pPr>
        <w:tabs>
          <w:tab w:val="num" w:pos="5040"/>
        </w:tabs>
        <w:ind w:left="5040" w:hanging="360"/>
      </w:pPr>
      <w:rPr>
        <w:rFonts w:ascii="Symbol" w:hAnsi="Symbol" w:hint="default"/>
      </w:rPr>
    </w:lvl>
    <w:lvl w:ilvl="7" w:tplc="F46678EC" w:tentative="1">
      <w:start w:val="1"/>
      <w:numFmt w:val="bullet"/>
      <w:lvlText w:val="o"/>
      <w:lvlJc w:val="left"/>
      <w:pPr>
        <w:tabs>
          <w:tab w:val="num" w:pos="5760"/>
        </w:tabs>
        <w:ind w:left="5760" w:hanging="360"/>
      </w:pPr>
      <w:rPr>
        <w:rFonts w:ascii="Courier New" w:hAnsi="Courier New" w:hint="default"/>
      </w:rPr>
    </w:lvl>
    <w:lvl w:ilvl="8" w:tplc="908CE0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6B2BF8"/>
    <w:multiLevelType w:val="hybridMultilevel"/>
    <w:tmpl w:val="09568CB0"/>
    <w:lvl w:ilvl="0" w:tplc="45FE900E">
      <w:start w:val="1"/>
      <w:numFmt w:val="bullet"/>
      <w:lvlText w:val=""/>
      <w:lvlJc w:val="left"/>
      <w:pPr>
        <w:ind w:left="720" w:hanging="360"/>
      </w:pPr>
      <w:rPr>
        <w:rFonts w:ascii="Symbol" w:hAnsi="Symbol" w:hint="default"/>
      </w:rPr>
    </w:lvl>
    <w:lvl w:ilvl="1" w:tplc="E28221D0" w:tentative="1">
      <w:start w:val="1"/>
      <w:numFmt w:val="bullet"/>
      <w:lvlText w:val="o"/>
      <w:lvlJc w:val="left"/>
      <w:pPr>
        <w:ind w:left="1440" w:hanging="360"/>
      </w:pPr>
      <w:rPr>
        <w:rFonts w:ascii="Courier New" w:hAnsi="Courier New" w:cs="Courier New" w:hint="default"/>
      </w:rPr>
    </w:lvl>
    <w:lvl w:ilvl="2" w:tplc="AC942A0C" w:tentative="1">
      <w:start w:val="1"/>
      <w:numFmt w:val="bullet"/>
      <w:lvlText w:val=""/>
      <w:lvlJc w:val="left"/>
      <w:pPr>
        <w:ind w:left="2160" w:hanging="360"/>
      </w:pPr>
      <w:rPr>
        <w:rFonts w:ascii="Wingdings" w:hAnsi="Wingdings" w:hint="default"/>
      </w:rPr>
    </w:lvl>
    <w:lvl w:ilvl="3" w:tplc="71F07E82" w:tentative="1">
      <w:start w:val="1"/>
      <w:numFmt w:val="bullet"/>
      <w:lvlText w:val=""/>
      <w:lvlJc w:val="left"/>
      <w:pPr>
        <w:ind w:left="2880" w:hanging="360"/>
      </w:pPr>
      <w:rPr>
        <w:rFonts w:ascii="Symbol" w:hAnsi="Symbol" w:hint="default"/>
      </w:rPr>
    </w:lvl>
    <w:lvl w:ilvl="4" w:tplc="B56C8262" w:tentative="1">
      <w:start w:val="1"/>
      <w:numFmt w:val="bullet"/>
      <w:lvlText w:val="o"/>
      <w:lvlJc w:val="left"/>
      <w:pPr>
        <w:ind w:left="3600" w:hanging="360"/>
      </w:pPr>
      <w:rPr>
        <w:rFonts w:ascii="Courier New" w:hAnsi="Courier New" w:cs="Courier New" w:hint="default"/>
      </w:rPr>
    </w:lvl>
    <w:lvl w:ilvl="5" w:tplc="5F7C7E30" w:tentative="1">
      <w:start w:val="1"/>
      <w:numFmt w:val="bullet"/>
      <w:lvlText w:val=""/>
      <w:lvlJc w:val="left"/>
      <w:pPr>
        <w:ind w:left="4320" w:hanging="360"/>
      </w:pPr>
      <w:rPr>
        <w:rFonts w:ascii="Wingdings" w:hAnsi="Wingdings" w:hint="default"/>
      </w:rPr>
    </w:lvl>
    <w:lvl w:ilvl="6" w:tplc="679084FE" w:tentative="1">
      <w:start w:val="1"/>
      <w:numFmt w:val="bullet"/>
      <w:lvlText w:val=""/>
      <w:lvlJc w:val="left"/>
      <w:pPr>
        <w:ind w:left="5040" w:hanging="360"/>
      </w:pPr>
      <w:rPr>
        <w:rFonts w:ascii="Symbol" w:hAnsi="Symbol" w:hint="default"/>
      </w:rPr>
    </w:lvl>
    <w:lvl w:ilvl="7" w:tplc="7C007D6C" w:tentative="1">
      <w:start w:val="1"/>
      <w:numFmt w:val="bullet"/>
      <w:lvlText w:val="o"/>
      <w:lvlJc w:val="left"/>
      <w:pPr>
        <w:ind w:left="5760" w:hanging="360"/>
      </w:pPr>
      <w:rPr>
        <w:rFonts w:ascii="Courier New" w:hAnsi="Courier New" w:cs="Courier New" w:hint="default"/>
      </w:rPr>
    </w:lvl>
    <w:lvl w:ilvl="8" w:tplc="0190427E" w:tentative="1">
      <w:start w:val="1"/>
      <w:numFmt w:val="bullet"/>
      <w:lvlText w:val=""/>
      <w:lvlJc w:val="left"/>
      <w:pPr>
        <w:ind w:left="6480" w:hanging="360"/>
      </w:pPr>
      <w:rPr>
        <w:rFonts w:ascii="Wingdings" w:hAnsi="Wingdings" w:hint="default"/>
      </w:rPr>
    </w:lvl>
  </w:abstractNum>
  <w:abstractNum w:abstractNumId="12" w15:restartNumberingAfterBreak="0">
    <w:nsid w:val="14F40ED0"/>
    <w:multiLevelType w:val="hybridMultilevel"/>
    <w:tmpl w:val="66C6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987BE8"/>
    <w:multiLevelType w:val="hybridMultilevel"/>
    <w:tmpl w:val="1C82171A"/>
    <w:lvl w:ilvl="0" w:tplc="94586052">
      <w:start w:val="1"/>
      <w:numFmt w:val="bullet"/>
      <w:pStyle w:val="List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4" w15:restartNumberingAfterBreak="0">
    <w:nsid w:val="23B624B8"/>
    <w:multiLevelType w:val="hybridMultilevel"/>
    <w:tmpl w:val="79A65B7E"/>
    <w:lvl w:ilvl="0" w:tplc="D4D214F6">
      <w:start w:val="2018"/>
      <w:numFmt w:val="bullet"/>
      <w:lvlText w:val="-"/>
      <w:lvlJc w:val="left"/>
      <w:pPr>
        <w:ind w:left="720" w:hanging="360"/>
      </w:pPr>
      <w:rPr>
        <w:rFonts w:ascii="Arial Narrow" w:eastAsia="Times New Roman" w:hAnsi="Arial Narrow" w:cs="Times New Roman" w:hint="default"/>
      </w:rPr>
    </w:lvl>
    <w:lvl w:ilvl="1" w:tplc="820A5156" w:tentative="1">
      <w:start w:val="1"/>
      <w:numFmt w:val="bullet"/>
      <w:lvlText w:val="o"/>
      <w:lvlJc w:val="left"/>
      <w:pPr>
        <w:ind w:left="1440" w:hanging="360"/>
      </w:pPr>
      <w:rPr>
        <w:rFonts w:ascii="Courier New" w:hAnsi="Courier New" w:cs="Courier New" w:hint="default"/>
      </w:rPr>
    </w:lvl>
    <w:lvl w:ilvl="2" w:tplc="B3E4B302" w:tentative="1">
      <w:start w:val="1"/>
      <w:numFmt w:val="bullet"/>
      <w:lvlText w:val=""/>
      <w:lvlJc w:val="left"/>
      <w:pPr>
        <w:ind w:left="2160" w:hanging="360"/>
      </w:pPr>
      <w:rPr>
        <w:rFonts w:ascii="Wingdings" w:hAnsi="Wingdings" w:hint="default"/>
      </w:rPr>
    </w:lvl>
    <w:lvl w:ilvl="3" w:tplc="E96C88B6" w:tentative="1">
      <w:start w:val="1"/>
      <w:numFmt w:val="bullet"/>
      <w:lvlText w:val=""/>
      <w:lvlJc w:val="left"/>
      <w:pPr>
        <w:ind w:left="2880" w:hanging="360"/>
      </w:pPr>
      <w:rPr>
        <w:rFonts w:ascii="Symbol" w:hAnsi="Symbol" w:hint="default"/>
      </w:rPr>
    </w:lvl>
    <w:lvl w:ilvl="4" w:tplc="39DACECC" w:tentative="1">
      <w:start w:val="1"/>
      <w:numFmt w:val="bullet"/>
      <w:lvlText w:val="o"/>
      <w:lvlJc w:val="left"/>
      <w:pPr>
        <w:ind w:left="3600" w:hanging="360"/>
      </w:pPr>
      <w:rPr>
        <w:rFonts w:ascii="Courier New" w:hAnsi="Courier New" w:cs="Courier New" w:hint="default"/>
      </w:rPr>
    </w:lvl>
    <w:lvl w:ilvl="5" w:tplc="E7A2D644" w:tentative="1">
      <w:start w:val="1"/>
      <w:numFmt w:val="bullet"/>
      <w:lvlText w:val=""/>
      <w:lvlJc w:val="left"/>
      <w:pPr>
        <w:ind w:left="4320" w:hanging="360"/>
      </w:pPr>
      <w:rPr>
        <w:rFonts w:ascii="Wingdings" w:hAnsi="Wingdings" w:hint="default"/>
      </w:rPr>
    </w:lvl>
    <w:lvl w:ilvl="6" w:tplc="82F45290" w:tentative="1">
      <w:start w:val="1"/>
      <w:numFmt w:val="bullet"/>
      <w:lvlText w:val=""/>
      <w:lvlJc w:val="left"/>
      <w:pPr>
        <w:ind w:left="5040" w:hanging="360"/>
      </w:pPr>
      <w:rPr>
        <w:rFonts w:ascii="Symbol" w:hAnsi="Symbol" w:hint="default"/>
      </w:rPr>
    </w:lvl>
    <w:lvl w:ilvl="7" w:tplc="F85EB224" w:tentative="1">
      <w:start w:val="1"/>
      <w:numFmt w:val="bullet"/>
      <w:lvlText w:val="o"/>
      <w:lvlJc w:val="left"/>
      <w:pPr>
        <w:ind w:left="5760" w:hanging="360"/>
      </w:pPr>
      <w:rPr>
        <w:rFonts w:ascii="Courier New" w:hAnsi="Courier New" w:cs="Courier New" w:hint="default"/>
      </w:rPr>
    </w:lvl>
    <w:lvl w:ilvl="8" w:tplc="99AE4132" w:tentative="1">
      <w:start w:val="1"/>
      <w:numFmt w:val="bullet"/>
      <w:lvlText w:val=""/>
      <w:lvlJc w:val="left"/>
      <w:pPr>
        <w:ind w:left="6480" w:hanging="360"/>
      </w:pPr>
      <w:rPr>
        <w:rFonts w:ascii="Wingdings" w:hAnsi="Wingdings" w:hint="default"/>
      </w:rPr>
    </w:lvl>
  </w:abstractNum>
  <w:abstractNum w:abstractNumId="15" w15:restartNumberingAfterBreak="0">
    <w:nsid w:val="24DD672C"/>
    <w:multiLevelType w:val="hybridMultilevel"/>
    <w:tmpl w:val="AF4A2604"/>
    <w:lvl w:ilvl="0" w:tplc="761C94D4">
      <w:start w:val="1"/>
      <w:numFmt w:val="upperLetter"/>
      <w:lvlText w:val="%1."/>
      <w:lvlJc w:val="left"/>
      <w:pPr>
        <w:tabs>
          <w:tab w:val="num" w:pos="1080"/>
        </w:tabs>
        <w:ind w:left="1080" w:hanging="360"/>
      </w:pPr>
      <w:rPr>
        <w:rFonts w:hint="default"/>
      </w:rPr>
    </w:lvl>
    <w:lvl w:ilvl="1" w:tplc="30BAAFCE" w:tentative="1">
      <w:start w:val="1"/>
      <w:numFmt w:val="bullet"/>
      <w:lvlText w:val="o"/>
      <w:lvlJc w:val="left"/>
      <w:pPr>
        <w:tabs>
          <w:tab w:val="num" w:pos="1080"/>
        </w:tabs>
        <w:ind w:left="1080" w:hanging="360"/>
      </w:pPr>
      <w:rPr>
        <w:rFonts w:ascii="Courier New" w:hAnsi="Courier New" w:cs="Courier New" w:hint="default"/>
      </w:rPr>
    </w:lvl>
    <w:lvl w:ilvl="2" w:tplc="E0CA34F2" w:tentative="1">
      <w:start w:val="1"/>
      <w:numFmt w:val="bullet"/>
      <w:lvlText w:val=""/>
      <w:lvlJc w:val="left"/>
      <w:pPr>
        <w:tabs>
          <w:tab w:val="num" w:pos="1800"/>
        </w:tabs>
        <w:ind w:left="1800" w:hanging="360"/>
      </w:pPr>
      <w:rPr>
        <w:rFonts w:ascii="Wingdings" w:hAnsi="Wingdings" w:hint="default"/>
      </w:rPr>
    </w:lvl>
    <w:lvl w:ilvl="3" w:tplc="9A0AE26E" w:tentative="1">
      <w:start w:val="1"/>
      <w:numFmt w:val="bullet"/>
      <w:lvlText w:val=""/>
      <w:lvlJc w:val="left"/>
      <w:pPr>
        <w:tabs>
          <w:tab w:val="num" w:pos="2520"/>
        </w:tabs>
        <w:ind w:left="2520" w:hanging="360"/>
      </w:pPr>
      <w:rPr>
        <w:rFonts w:ascii="Symbol" w:hAnsi="Symbol" w:hint="default"/>
      </w:rPr>
    </w:lvl>
    <w:lvl w:ilvl="4" w:tplc="3CDE5D90" w:tentative="1">
      <w:start w:val="1"/>
      <w:numFmt w:val="bullet"/>
      <w:lvlText w:val="o"/>
      <w:lvlJc w:val="left"/>
      <w:pPr>
        <w:tabs>
          <w:tab w:val="num" w:pos="3240"/>
        </w:tabs>
        <w:ind w:left="3240" w:hanging="360"/>
      </w:pPr>
      <w:rPr>
        <w:rFonts w:ascii="Courier New" w:hAnsi="Courier New" w:cs="Courier New" w:hint="default"/>
      </w:rPr>
    </w:lvl>
    <w:lvl w:ilvl="5" w:tplc="EFBCC598" w:tentative="1">
      <w:start w:val="1"/>
      <w:numFmt w:val="bullet"/>
      <w:lvlText w:val=""/>
      <w:lvlJc w:val="left"/>
      <w:pPr>
        <w:tabs>
          <w:tab w:val="num" w:pos="3960"/>
        </w:tabs>
        <w:ind w:left="3960" w:hanging="360"/>
      </w:pPr>
      <w:rPr>
        <w:rFonts w:ascii="Wingdings" w:hAnsi="Wingdings" w:hint="default"/>
      </w:rPr>
    </w:lvl>
    <w:lvl w:ilvl="6" w:tplc="E71C99DC" w:tentative="1">
      <w:start w:val="1"/>
      <w:numFmt w:val="bullet"/>
      <w:lvlText w:val=""/>
      <w:lvlJc w:val="left"/>
      <w:pPr>
        <w:tabs>
          <w:tab w:val="num" w:pos="4680"/>
        </w:tabs>
        <w:ind w:left="4680" w:hanging="360"/>
      </w:pPr>
      <w:rPr>
        <w:rFonts w:ascii="Symbol" w:hAnsi="Symbol" w:hint="default"/>
      </w:rPr>
    </w:lvl>
    <w:lvl w:ilvl="7" w:tplc="3CDC2A5A" w:tentative="1">
      <w:start w:val="1"/>
      <w:numFmt w:val="bullet"/>
      <w:lvlText w:val="o"/>
      <w:lvlJc w:val="left"/>
      <w:pPr>
        <w:tabs>
          <w:tab w:val="num" w:pos="5400"/>
        </w:tabs>
        <w:ind w:left="5400" w:hanging="360"/>
      </w:pPr>
      <w:rPr>
        <w:rFonts w:ascii="Courier New" w:hAnsi="Courier New" w:cs="Courier New" w:hint="default"/>
      </w:rPr>
    </w:lvl>
    <w:lvl w:ilvl="8" w:tplc="2508E52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AC3487"/>
    <w:multiLevelType w:val="hybridMultilevel"/>
    <w:tmpl w:val="A670C1FC"/>
    <w:lvl w:ilvl="0" w:tplc="04090001">
      <w:start w:val="1"/>
      <w:numFmt w:val="bullet"/>
      <w:lvlText w:val=""/>
      <w:lvlJc w:val="left"/>
      <w:pPr>
        <w:ind w:left="720" w:hanging="360"/>
      </w:pPr>
      <w:rPr>
        <w:rFonts w:ascii="Symbol" w:hAnsi="Symbol" w:hint="default"/>
      </w:rPr>
    </w:lvl>
    <w:lvl w:ilvl="1" w:tplc="820A5156" w:tentative="1">
      <w:start w:val="1"/>
      <w:numFmt w:val="bullet"/>
      <w:lvlText w:val="o"/>
      <w:lvlJc w:val="left"/>
      <w:pPr>
        <w:ind w:left="1440" w:hanging="360"/>
      </w:pPr>
      <w:rPr>
        <w:rFonts w:ascii="Courier New" w:hAnsi="Courier New" w:cs="Courier New" w:hint="default"/>
      </w:rPr>
    </w:lvl>
    <w:lvl w:ilvl="2" w:tplc="B3E4B302" w:tentative="1">
      <w:start w:val="1"/>
      <w:numFmt w:val="bullet"/>
      <w:lvlText w:val=""/>
      <w:lvlJc w:val="left"/>
      <w:pPr>
        <w:ind w:left="2160" w:hanging="360"/>
      </w:pPr>
      <w:rPr>
        <w:rFonts w:ascii="Wingdings" w:hAnsi="Wingdings" w:hint="default"/>
      </w:rPr>
    </w:lvl>
    <w:lvl w:ilvl="3" w:tplc="E96C88B6" w:tentative="1">
      <w:start w:val="1"/>
      <w:numFmt w:val="bullet"/>
      <w:lvlText w:val=""/>
      <w:lvlJc w:val="left"/>
      <w:pPr>
        <w:ind w:left="2880" w:hanging="360"/>
      </w:pPr>
      <w:rPr>
        <w:rFonts w:ascii="Symbol" w:hAnsi="Symbol" w:hint="default"/>
      </w:rPr>
    </w:lvl>
    <w:lvl w:ilvl="4" w:tplc="39DACECC" w:tentative="1">
      <w:start w:val="1"/>
      <w:numFmt w:val="bullet"/>
      <w:lvlText w:val="o"/>
      <w:lvlJc w:val="left"/>
      <w:pPr>
        <w:ind w:left="3600" w:hanging="360"/>
      </w:pPr>
      <w:rPr>
        <w:rFonts w:ascii="Courier New" w:hAnsi="Courier New" w:cs="Courier New" w:hint="default"/>
      </w:rPr>
    </w:lvl>
    <w:lvl w:ilvl="5" w:tplc="E7A2D644" w:tentative="1">
      <w:start w:val="1"/>
      <w:numFmt w:val="bullet"/>
      <w:lvlText w:val=""/>
      <w:lvlJc w:val="left"/>
      <w:pPr>
        <w:ind w:left="4320" w:hanging="360"/>
      </w:pPr>
      <w:rPr>
        <w:rFonts w:ascii="Wingdings" w:hAnsi="Wingdings" w:hint="default"/>
      </w:rPr>
    </w:lvl>
    <w:lvl w:ilvl="6" w:tplc="82F45290" w:tentative="1">
      <w:start w:val="1"/>
      <w:numFmt w:val="bullet"/>
      <w:lvlText w:val=""/>
      <w:lvlJc w:val="left"/>
      <w:pPr>
        <w:ind w:left="5040" w:hanging="360"/>
      </w:pPr>
      <w:rPr>
        <w:rFonts w:ascii="Symbol" w:hAnsi="Symbol" w:hint="default"/>
      </w:rPr>
    </w:lvl>
    <w:lvl w:ilvl="7" w:tplc="F85EB224" w:tentative="1">
      <w:start w:val="1"/>
      <w:numFmt w:val="bullet"/>
      <w:lvlText w:val="o"/>
      <w:lvlJc w:val="left"/>
      <w:pPr>
        <w:ind w:left="5760" w:hanging="360"/>
      </w:pPr>
      <w:rPr>
        <w:rFonts w:ascii="Courier New" w:hAnsi="Courier New" w:cs="Courier New" w:hint="default"/>
      </w:rPr>
    </w:lvl>
    <w:lvl w:ilvl="8" w:tplc="99AE4132" w:tentative="1">
      <w:start w:val="1"/>
      <w:numFmt w:val="bullet"/>
      <w:lvlText w:val=""/>
      <w:lvlJc w:val="left"/>
      <w:pPr>
        <w:ind w:left="6480" w:hanging="360"/>
      </w:pPr>
      <w:rPr>
        <w:rFonts w:ascii="Wingdings" w:hAnsi="Wingdings" w:hint="default"/>
      </w:rPr>
    </w:lvl>
  </w:abstractNum>
  <w:abstractNum w:abstractNumId="17" w15:restartNumberingAfterBreak="0">
    <w:nsid w:val="2BF21A89"/>
    <w:multiLevelType w:val="hybridMultilevel"/>
    <w:tmpl w:val="58E4B3BC"/>
    <w:lvl w:ilvl="0" w:tplc="03541FB2">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B6CC0"/>
    <w:multiLevelType w:val="hybridMultilevel"/>
    <w:tmpl w:val="8C80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1573A"/>
    <w:multiLevelType w:val="multilevel"/>
    <w:tmpl w:val="AF4A2604"/>
    <w:lvl w:ilvl="0">
      <w:start w:val="1"/>
      <w:numFmt w:val="upperLetter"/>
      <w:lvlText w:val="%1."/>
      <w:lvlJc w:val="left"/>
      <w:pPr>
        <w:tabs>
          <w:tab w:val="num" w:pos="1080"/>
        </w:tabs>
        <w:ind w:left="1080" w:hanging="360"/>
      </w:pPr>
      <w:rPr>
        <w:rFont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595979"/>
    <w:multiLevelType w:val="hybridMultilevel"/>
    <w:tmpl w:val="7116E490"/>
    <w:lvl w:ilvl="0" w:tplc="12522650">
      <w:start w:val="1"/>
      <w:numFmt w:val="decimal"/>
      <w:lvlText w:val="%1."/>
      <w:lvlJc w:val="left"/>
      <w:pPr>
        <w:ind w:left="720" w:hanging="360"/>
      </w:pPr>
    </w:lvl>
    <w:lvl w:ilvl="1" w:tplc="3746C95A">
      <w:start w:val="1"/>
      <w:numFmt w:val="lowerLetter"/>
      <w:lvlText w:val="%2."/>
      <w:lvlJc w:val="left"/>
      <w:pPr>
        <w:ind w:left="1440" w:hanging="360"/>
      </w:pPr>
    </w:lvl>
    <w:lvl w:ilvl="2" w:tplc="05BC5186" w:tentative="1">
      <w:start w:val="1"/>
      <w:numFmt w:val="lowerRoman"/>
      <w:lvlText w:val="%3."/>
      <w:lvlJc w:val="right"/>
      <w:pPr>
        <w:ind w:left="2160" w:hanging="180"/>
      </w:pPr>
    </w:lvl>
    <w:lvl w:ilvl="3" w:tplc="D6EA5976" w:tentative="1">
      <w:start w:val="1"/>
      <w:numFmt w:val="decimal"/>
      <w:lvlText w:val="%4."/>
      <w:lvlJc w:val="left"/>
      <w:pPr>
        <w:ind w:left="2880" w:hanging="360"/>
      </w:pPr>
    </w:lvl>
    <w:lvl w:ilvl="4" w:tplc="5D8C5930" w:tentative="1">
      <w:start w:val="1"/>
      <w:numFmt w:val="lowerLetter"/>
      <w:lvlText w:val="%5."/>
      <w:lvlJc w:val="left"/>
      <w:pPr>
        <w:ind w:left="3600" w:hanging="360"/>
      </w:pPr>
    </w:lvl>
    <w:lvl w:ilvl="5" w:tplc="F8FC6F54" w:tentative="1">
      <w:start w:val="1"/>
      <w:numFmt w:val="lowerRoman"/>
      <w:lvlText w:val="%6."/>
      <w:lvlJc w:val="right"/>
      <w:pPr>
        <w:ind w:left="4320" w:hanging="180"/>
      </w:pPr>
    </w:lvl>
    <w:lvl w:ilvl="6" w:tplc="5798D720" w:tentative="1">
      <w:start w:val="1"/>
      <w:numFmt w:val="decimal"/>
      <w:lvlText w:val="%7."/>
      <w:lvlJc w:val="left"/>
      <w:pPr>
        <w:ind w:left="5040" w:hanging="360"/>
      </w:pPr>
    </w:lvl>
    <w:lvl w:ilvl="7" w:tplc="8B76D4C4" w:tentative="1">
      <w:start w:val="1"/>
      <w:numFmt w:val="lowerLetter"/>
      <w:lvlText w:val="%8."/>
      <w:lvlJc w:val="left"/>
      <w:pPr>
        <w:ind w:left="5760" w:hanging="360"/>
      </w:pPr>
    </w:lvl>
    <w:lvl w:ilvl="8" w:tplc="119A892C" w:tentative="1">
      <w:start w:val="1"/>
      <w:numFmt w:val="lowerRoman"/>
      <w:lvlText w:val="%9."/>
      <w:lvlJc w:val="right"/>
      <w:pPr>
        <w:ind w:left="6480" w:hanging="180"/>
      </w:pPr>
    </w:lvl>
  </w:abstractNum>
  <w:abstractNum w:abstractNumId="21" w15:restartNumberingAfterBreak="0">
    <w:nsid w:val="40A405B2"/>
    <w:multiLevelType w:val="hybridMultilevel"/>
    <w:tmpl w:val="4C6AE2AC"/>
    <w:lvl w:ilvl="0" w:tplc="9D0C7E1E">
      <w:start w:val="1"/>
      <w:numFmt w:val="bullet"/>
      <w:lvlText w:val=""/>
      <w:lvlJc w:val="left"/>
      <w:pPr>
        <w:ind w:left="2700"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2" w15:restartNumberingAfterBreak="0">
    <w:nsid w:val="43B37AA3"/>
    <w:multiLevelType w:val="hybridMultilevel"/>
    <w:tmpl w:val="09F0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55F26"/>
    <w:multiLevelType w:val="hybridMultilevel"/>
    <w:tmpl w:val="11B0C8C2"/>
    <w:lvl w:ilvl="0" w:tplc="5F049FF8">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61829"/>
    <w:multiLevelType w:val="hybridMultilevel"/>
    <w:tmpl w:val="319C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65482"/>
    <w:multiLevelType w:val="multilevel"/>
    <w:tmpl w:val="A556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5E3C1A"/>
    <w:multiLevelType w:val="hybridMultilevel"/>
    <w:tmpl w:val="3B42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412D9"/>
    <w:multiLevelType w:val="hybridMultilevel"/>
    <w:tmpl w:val="8F309CD6"/>
    <w:lvl w:ilvl="0" w:tplc="4EAC73EE">
      <w:start w:val="1"/>
      <w:numFmt w:val="decimal"/>
      <w:lvlText w:val="%1."/>
      <w:lvlJc w:val="left"/>
      <w:pPr>
        <w:ind w:left="900" w:hanging="360"/>
      </w:pPr>
    </w:lvl>
    <w:lvl w:ilvl="1" w:tplc="DF0E9A68" w:tentative="1">
      <w:start w:val="1"/>
      <w:numFmt w:val="lowerLetter"/>
      <w:lvlText w:val="%2."/>
      <w:lvlJc w:val="left"/>
      <w:pPr>
        <w:ind w:left="1620" w:hanging="360"/>
      </w:pPr>
    </w:lvl>
    <w:lvl w:ilvl="2" w:tplc="3074465E" w:tentative="1">
      <w:start w:val="1"/>
      <w:numFmt w:val="lowerRoman"/>
      <w:lvlText w:val="%3."/>
      <w:lvlJc w:val="right"/>
      <w:pPr>
        <w:ind w:left="2340" w:hanging="180"/>
      </w:pPr>
    </w:lvl>
    <w:lvl w:ilvl="3" w:tplc="E0245CA8" w:tentative="1">
      <w:start w:val="1"/>
      <w:numFmt w:val="decimal"/>
      <w:lvlText w:val="%4."/>
      <w:lvlJc w:val="left"/>
      <w:pPr>
        <w:ind w:left="3060" w:hanging="360"/>
      </w:pPr>
    </w:lvl>
    <w:lvl w:ilvl="4" w:tplc="22F6AF54" w:tentative="1">
      <w:start w:val="1"/>
      <w:numFmt w:val="lowerLetter"/>
      <w:lvlText w:val="%5."/>
      <w:lvlJc w:val="left"/>
      <w:pPr>
        <w:ind w:left="3780" w:hanging="360"/>
      </w:pPr>
    </w:lvl>
    <w:lvl w:ilvl="5" w:tplc="956E3D72" w:tentative="1">
      <w:start w:val="1"/>
      <w:numFmt w:val="lowerRoman"/>
      <w:lvlText w:val="%6."/>
      <w:lvlJc w:val="right"/>
      <w:pPr>
        <w:ind w:left="4500" w:hanging="180"/>
      </w:pPr>
    </w:lvl>
    <w:lvl w:ilvl="6" w:tplc="B2F4CD2E" w:tentative="1">
      <w:start w:val="1"/>
      <w:numFmt w:val="decimal"/>
      <w:lvlText w:val="%7."/>
      <w:lvlJc w:val="left"/>
      <w:pPr>
        <w:ind w:left="5220" w:hanging="360"/>
      </w:pPr>
    </w:lvl>
    <w:lvl w:ilvl="7" w:tplc="FD94DD3C" w:tentative="1">
      <w:start w:val="1"/>
      <w:numFmt w:val="lowerLetter"/>
      <w:lvlText w:val="%8."/>
      <w:lvlJc w:val="left"/>
      <w:pPr>
        <w:ind w:left="5940" w:hanging="360"/>
      </w:pPr>
    </w:lvl>
    <w:lvl w:ilvl="8" w:tplc="F6EA1DFA" w:tentative="1">
      <w:start w:val="1"/>
      <w:numFmt w:val="lowerRoman"/>
      <w:lvlText w:val="%9."/>
      <w:lvlJc w:val="right"/>
      <w:pPr>
        <w:ind w:left="6660" w:hanging="180"/>
      </w:pPr>
    </w:lvl>
  </w:abstractNum>
  <w:abstractNum w:abstractNumId="28" w15:restartNumberingAfterBreak="0">
    <w:nsid w:val="6A3361A7"/>
    <w:multiLevelType w:val="multilevel"/>
    <w:tmpl w:val="23DC2850"/>
    <w:name w:val="Enter a Name"/>
    <w:lvl w:ilvl="0">
      <w:start w:val="1"/>
      <w:numFmt w:val="upperRoman"/>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9" w15:restartNumberingAfterBreak="0">
    <w:nsid w:val="76026E4D"/>
    <w:multiLevelType w:val="hybridMultilevel"/>
    <w:tmpl w:val="9B10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28"/>
  </w:num>
  <w:num w:numId="9">
    <w:abstractNumId w:val="6"/>
  </w:num>
  <w:num w:numId="10">
    <w:abstractNumId w:val="6"/>
    <w:lvlOverride w:ilvl="0">
      <w:startOverride w:val="1"/>
    </w:lvlOverride>
  </w:num>
  <w:num w:numId="11">
    <w:abstractNumId w:val="15"/>
  </w:num>
  <w:num w:numId="12">
    <w:abstractNumId w:val="6"/>
    <w:lvlOverride w:ilvl="0">
      <w:startOverride w:val="1"/>
    </w:lvlOverride>
  </w:num>
  <w:num w:numId="13">
    <w:abstractNumId w:val="19"/>
  </w:num>
  <w:num w:numId="14">
    <w:abstractNumId w:val="14"/>
  </w:num>
  <w:num w:numId="15">
    <w:abstractNumId w:val="11"/>
  </w:num>
  <w:num w:numId="16">
    <w:abstractNumId w:val="20"/>
  </w:num>
  <w:num w:numId="17">
    <w:abstractNumId w:val="22"/>
  </w:num>
  <w:num w:numId="18">
    <w:abstractNumId w:val="13"/>
  </w:num>
  <w:num w:numId="19">
    <w:abstractNumId w:val="21"/>
  </w:num>
  <w:num w:numId="20">
    <w:abstractNumId w:val="29"/>
  </w:num>
  <w:num w:numId="21">
    <w:abstractNumId w:val="24"/>
  </w:num>
  <w:num w:numId="22">
    <w:abstractNumId w:val="21"/>
  </w:num>
  <w:num w:numId="23">
    <w:abstractNumId w:val="16"/>
  </w:num>
  <w:num w:numId="24">
    <w:abstractNumId w:val="27"/>
  </w:num>
  <w:num w:numId="25">
    <w:abstractNumId w:val="21"/>
  </w:num>
  <w:num w:numId="26">
    <w:abstractNumId w:val="21"/>
  </w:num>
  <w:num w:numId="27">
    <w:abstractNumId w:val="21"/>
  </w:num>
  <w:num w:numId="28">
    <w:abstractNumId w:val="21"/>
  </w:num>
  <w:num w:numId="29">
    <w:abstractNumId w:val="21"/>
  </w:num>
  <w:num w:numId="30">
    <w:abstractNumId w:val="9"/>
  </w:num>
  <w:num w:numId="31">
    <w:abstractNumId w:val="25"/>
  </w:num>
  <w:num w:numId="32">
    <w:abstractNumId w:val="7"/>
  </w:num>
  <w:num w:numId="33">
    <w:abstractNumId w:val="18"/>
  </w:num>
  <w:num w:numId="34">
    <w:abstractNumId w:val="13"/>
  </w:num>
  <w:num w:numId="35">
    <w:abstractNumId w:val="13"/>
  </w:num>
  <w:num w:numId="36">
    <w:abstractNumId w:val="8"/>
  </w:num>
  <w:num w:numId="37">
    <w:abstractNumId w:val="12"/>
  </w:num>
  <w:num w:numId="38">
    <w:abstractNumId w:val="23"/>
  </w:num>
  <w:num w:numId="39">
    <w:abstractNumId w:val="17"/>
  </w:num>
  <w:num w:numId="4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8678"/>
    <o:shapelayout v:ext="edit">
      <o:idmap v:ext="edit" data="28"/>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15"/>
    <w:rsid w:val="000054E1"/>
    <w:rsid w:val="0000738E"/>
    <w:rsid w:val="00010214"/>
    <w:rsid w:val="000121CE"/>
    <w:rsid w:val="0002109A"/>
    <w:rsid w:val="000211E5"/>
    <w:rsid w:val="00021420"/>
    <w:rsid w:val="00034324"/>
    <w:rsid w:val="00036BD7"/>
    <w:rsid w:val="00041B2C"/>
    <w:rsid w:val="00042624"/>
    <w:rsid w:val="00043F52"/>
    <w:rsid w:val="000459BE"/>
    <w:rsid w:val="00046BF4"/>
    <w:rsid w:val="0005457D"/>
    <w:rsid w:val="00063B62"/>
    <w:rsid w:val="00064EA5"/>
    <w:rsid w:val="00081BB3"/>
    <w:rsid w:val="00083821"/>
    <w:rsid w:val="0008555A"/>
    <w:rsid w:val="000876FD"/>
    <w:rsid w:val="00095638"/>
    <w:rsid w:val="00095D71"/>
    <w:rsid w:val="00096305"/>
    <w:rsid w:val="000A2138"/>
    <w:rsid w:val="000A4F3D"/>
    <w:rsid w:val="000B4DFA"/>
    <w:rsid w:val="000B5285"/>
    <w:rsid w:val="000C3BFA"/>
    <w:rsid w:val="000D00E3"/>
    <w:rsid w:val="000D1B62"/>
    <w:rsid w:val="000D2054"/>
    <w:rsid w:val="000D6244"/>
    <w:rsid w:val="000D6380"/>
    <w:rsid w:val="000D6EC0"/>
    <w:rsid w:val="000D7140"/>
    <w:rsid w:val="000E2275"/>
    <w:rsid w:val="000E3007"/>
    <w:rsid w:val="000E3719"/>
    <w:rsid w:val="001028A4"/>
    <w:rsid w:val="001041D5"/>
    <w:rsid w:val="0011022A"/>
    <w:rsid w:val="00110B2E"/>
    <w:rsid w:val="00113572"/>
    <w:rsid w:val="00114BAB"/>
    <w:rsid w:val="0011640B"/>
    <w:rsid w:val="00116CDB"/>
    <w:rsid w:val="00116EE5"/>
    <w:rsid w:val="0012283B"/>
    <w:rsid w:val="00124415"/>
    <w:rsid w:val="00126A15"/>
    <w:rsid w:val="00136CDB"/>
    <w:rsid w:val="00137BE5"/>
    <w:rsid w:val="00140F72"/>
    <w:rsid w:val="00140FBB"/>
    <w:rsid w:val="00142865"/>
    <w:rsid w:val="001439C8"/>
    <w:rsid w:val="001466AF"/>
    <w:rsid w:val="00153AAC"/>
    <w:rsid w:val="00154EA4"/>
    <w:rsid w:val="00155229"/>
    <w:rsid w:val="0015746F"/>
    <w:rsid w:val="00160DA3"/>
    <w:rsid w:val="00161A4D"/>
    <w:rsid w:val="0016571D"/>
    <w:rsid w:val="0017073E"/>
    <w:rsid w:val="001707BA"/>
    <w:rsid w:val="00171344"/>
    <w:rsid w:val="00177C40"/>
    <w:rsid w:val="001805A2"/>
    <w:rsid w:val="00180CAF"/>
    <w:rsid w:val="001915CB"/>
    <w:rsid w:val="00191725"/>
    <w:rsid w:val="00193E35"/>
    <w:rsid w:val="00193F72"/>
    <w:rsid w:val="0019484F"/>
    <w:rsid w:val="00194A0C"/>
    <w:rsid w:val="00197322"/>
    <w:rsid w:val="001A4AA3"/>
    <w:rsid w:val="001A4D32"/>
    <w:rsid w:val="001A53E6"/>
    <w:rsid w:val="001A572B"/>
    <w:rsid w:val="001A691A"/>
    <w:rsid w:val="001B0458"/>
    <w:rsid w:val="001B1C34"/>
    <w:rsid w:val="001B7BA2"/>
    <w:rsid w:val="001C57EA"/>
    <w:rsid w:val="001D2F86"/>
    <w:rsid w:val="001D3377"/>
    <w:rsid w:val="001D6502"/>
    <w:rsid w:val="001D7599"/>
    <w:rsid w:val="001E3B5D"/>
    <w:rsid w:val="001F26D8"/>
    <w:rsid w:val="001F5735"/>
    <w:rsid w:val="00204420"/>
    <w:rsid w:val="00206A92"/>
    <w:rsid w:val="00212212"/>
    <w:rsid w:val="00213E5F"/>
    <w:rsid w:val="00214936"/>
    <w:rsid w:val="00216D65"/>
    <w:rsid w:val="002253C6"/>
    <w:rsid w:val="00227A6F"/>
    <w:rsid w:val="00227FD7"/>
    <w:rsid w:val="00233375"/>
    <w:rsid w:val="002340A0"/>
    <w:rsid w:val="002367B1"/>
    <w:rsid w:val="002446F9"/>
    <w:rsid w:val="00246E7A"/>
    <w:rsid w:val="00250E73"/>
    <w:rsid w:val="00254C7B"/>
    <w:rsid w:val="00257BF4"/>
    <w:rsid w:val="00264FC4"/>
    <w:rsid w:val="00267F4D"/>
    <w:rsid w:val="00277263"/>
    <w:rsid w:val="00280836"/>
    <w:rsid w:val="00281121"/>
    <w:rsid w:val="002811E1"/>
    <w:rsid w:val="00283C37"/>
    <w:rsid w:val="002873AF"/>
    <w:rsid w:val="00297685"/>
    <w:rsid w:val="002A0256"/>
    <w:rsid w:val="002A309C"/>
    <w:rsid w:val="002A45A1"/>
    <w:rsid w:val="002B64EE"/>
    <w:rsid w:val="002D63CA"/>
    <w:rsid w:val="002E2463"/>
    <w:rsid w:val="002E2A9A"/>
    <w:rsid w:val="002E51FD"/>
    <w:rsid w:val="002F22E3"/>
    <w:rsid w:val="002F3DDF"/>
    <w:rsid w:val="002F57D1"/>
    <w:rsid w:val="003011FF"/>
    <w:rsid w:val="003036D9"/>
    <w:rsid w:val="003047F2"/>
    <w:rsid w:val="00305A73"/>
    <w:rsid w:val="0030620A"/>
    <w:rsid w:val="003117A4"/>
    <w:rsid w:val="00313F60"/>
    <w:rsid w:val="0031547D"/>
    <w:rsid w:val="0032124A"/>
    <w:rsid w:val="00322E81"/>
    <w:rsid w:val="003254E3"/>
    <w:rsid w:val="00332659"/>
    <w:rsid w:val="00332736"/>
    <w:rsid w:val="0033575D"/>
    <w:rsid w:val="003359B1"/>
    <w:rsid w:val="00342A4F"/>
    <w:rsid w:val="00343229"/>
    <w:rsid w:val="0034516C"/>
    <w:rsid w:val="00345658"/>
    <w:rsid w:val="00350B63"/>
    <w:rsid w:val="00351767"/>
    <w:rsid w:val="00353204"/>
    <w:rsid w:val="00355793"/>
    <w:rsid w:val="00361A90"/>
    <w:rsid w:val="00363DE2"/>
    <w:rsid w:val="00365EE8"/>
    <w:rsid w:val="0037005E"/>
    <w:rsid w:val="00377260"/>
    <w:rsid w:val="00380284"/>
    <w:rsid w:val="003875AE"/>
    <w:rsid w:val="003A0746"/>
    <w:rsid w:val="003A2ACA"/>
    <w:rsid w:val="003A3CD4"/>
    <w:rsid w:val="003A4AF7"/>
    <w:rsid w:val="003A5651"/>
    <w:rsid w:val="003B2CA1"/>
    <w:rsid w:val="003B6E7A"/>
    <w:rsid w:val="003B728F"/>
    <w:rsid w:val="003B7A90"/>
    <w:rsid w:val="003C2A89"/>
    <w:rsid w:val="003C3541"/>
    <w:rsid w:val="003C354C"/>
    <w:rsid w:val="003D32B0"/>
    <w:rsid w:val="003D4C00"/>
    <w:rsid w:val="003F0516"/>
    <w:rsid w:val="003F7556"/>
    <w:rsid w:val="00401FBE"/>
    <w:rsid w:val="00404CE2"/>
    <w:rsid w:val="00405038"/>
    <w:rsid w:val="00405FD9"/>
    <w:rsid w:val="00414307"/>
    <w:rsid w:val="00417F47"/>
    <w:rsid w:val="00420EAE"/>
    <w:rsid w:val="00424662"/>
    <w:rsid w:val="00425BA7"/>
    <w:rsid w:val="00426FFE"/>
    <w:rsid w:val="0043067F"/>
    <w:rsid w:val="00433BA7"/>
    <w:rsid w:val="004413D4"/>
    <w:rsid w:val="00451F36"/>
    <w:rsid w:val="004520E1"/>
    <w:rsid w:val="0045371E"/>
    <w:rsid w:val="00454621"/>
    <w:rsid w:val="00454E86"/>
    <w:rsid w:val="00471ED3"/>
    <w:rsid w:val="00472DC4"/>
    <w:rsid w:val="00476F56"/>
    <w:rsid w:val="0049272B"/>
    <w:rsid w:val="004966A4"/>
    <w:rsid w:val="00496B90"/>
    <w:rsid w:val="004A2581"/>
    <w:rsid w:val="004A36F2"/>
    <w:rsid w:val="004A3D43"/>
    <w:rsid w:val="004A3EC1"/>
    <w:rsid w:val="004A3F7A"/>
    <w:rsid w:val="004A5558"/>
    <w:rsid w:val="004B4DBF"/>
    <w:rsid w:val="004C452D"/>
    <w:rsid w:val="004C468D"/>
    <w:rsid w:val="004C56A7"/>
    <w:rsid w:val="004C5829"/>
    <w:rsid w:val="004C5E6F"/>
    <w:rsid w:val="004C7970"/>
    <w:rsid w:val="004C7DCA"/>
    <w:rsid w:val="004D50C6"/>
    <w:rsid w:val="004D7267"/>
    <w:rsid w:val="004D7FF6"/>
    <w:rsid w:val="004E144F"/>
    <w:rsid w:val="004E2C41"/>
    <w:rsid w:val="004F0E6E"/>
    <w:rsid w:val="004F1595"/>
    <w:rsid w:val="004F1A33"/>
    <w:rsid w:val="004F5470"/>
    <w:rsid w:val="00500B44"/>
    <w:rsid w:val="0050375A"/>
    <w:rsid w:val="00504539"/>
    <w:rsid w:val="0050470F"/>
    <w:rsid w:val="005051F9"/>
    <w:rsid w:val="00505254"/>
    <w:rsid w:val="00505AF1"/>
    <w:rsid w:val="005072D3"/>
    <w:rsid w:val="00510804"/>
    <w:rsid w:val="00513240"/>
    <w:rsid w:val="00513E97"/>
    <w:rsid w:val="005179D8"/>
    <w:rsid w:val="00523BC0"/>
    <w:rsid w:val="00525E5A"/>
    <w:rsid w:val="00526783"/>
    <w:rsid w:val="00550734"/>
    <w:rsid w:val="0055292E"/>
    <w:rsid w:val="00553D7F"/>
    <w:rsid w:val="005601DB"/>
    <w:rsid w:val="0056218F"/>
    <w:rsid w:val="00563E13"/>
    <w:rsid w:val="00564583"/>
    <w:rsid w:val="00570629"/>
    <w:rsid w:val="00571A8B"/>
    <w:rsid w:val="00577268"/>
    <w:rsid w:val="00583A96"/>
    <w:rsid w:val="00583FAF"/>
    <w:rsid w:val="0058425E"/>
    <w:rsid w:val="00586AA5"/>
    <w:rsid w:val="00586CC8"/>
    <w:rsid w:val="005949D9"/>
    <w:rsid w:val="00596078"/>
    <w:rsid w:val="005975B7"/>
    <w:rsid w:val="005A095C"/>
    <w:rsid w:val="005A724E"/>
    <w:rsid w:val="005B1ABF"/>
    <w:rsid w:val="005B5715"/>
    <w:rsid w:val="005B6E93"/>
    <w:rsid w:val="005C0891"/>
    <w:rsid w:val="005D1442"/>
    <w:rsid w:val="005D27AD"/>
    <w:rsid w:val="005D424F"/>
    <w:rsid w:val="005D5FC4"/>
    <w:rsid w:val="005D7C14"/>
    <w:rsid w:val="005E324E"/>
    <w:rsid w:val="005E62D3"/>
    <w:rsid w:val="005E68D6"/>
    <w:rsid w:val="005F7696"/>
    <w:rsid w:val="006004EC"/>
    <w:rsid w:val="00603103"/>
    <w:rsid w:val="00603168"/>
    <w:rsid w:val="00604EFE"/>
    <w:rsid w:val="0060799A"/>
    <w:rsid w:val="00610D76"/>
    <w:rsid w:val="00615472"/>
    <w:rsid w:val="00615DFC"/>
    <w:rsid w:val="00620839"/>
    <w:rsid w:val="00622236"/>
    <w:rsid w:val="006231BB"/>
    <w:rsid w:val="0062501B"/>
    <w:rsid w:val="006266B9"/>
    <w:rsid w:val="00627814"/>
    <w:rsid w:val="00632779"/>
    <w:rsid w:val="00633DB7"/>
    <w:rsid w:val="0064226D"/>
    <w:rsid w:val="00643D74"/>
    <w:rsid w:val="00646190"/>
    <w:rsid w:val="00647739"/>
    <w:rsid w:val="00647D48"/>
    <w:rsid w:val="00651453"/>
    <w:rsid w:val="00666105"/>
    <w:rsid w:val="006663CD"/>
    <w:rsid w:val="006761AC"/>
    <w:rsid w:val="006831EA"/>
    <w:rsid w:val="006975E1"/>
    <w:rsid w:val="006A0D5C"/>
    <w:rsid w:val="006B1804"/>
    <w:rsid w:val="006B5069"/>
    <w:rsid w:val="006B6646"/>
    <w:rsid w:val="006C04C6"/>
    <w:rsid w:val="006C4E7D"/>
    <w:rsid w:val="006D4B8B"/>
    <w:rsid w:val="006D7E4D"/>
    <w:rsid w:val="006E04F1"/>
    <w:rsid w:val="006E2696"/>
    <w:rsid w:val="006E6671"/>
    <w:rsid w:val="006E7DFB"/>
    <w:rsid w:val="006F025C"/>
    <w:rsid w:val="006F1A32"/>
    <w:rsid w:val="006F232A"/>
    <w:rsid w:val="006F4CAE"/>
    <w:rsid w:val="006F677C"/>
    <w:rsid w:val="006F7143"/>
    <w:rsid w:val="006F7760"/>
    <w:rsid w:val="00703425"/>
    <w:rsid w:val="00712580"/>
    <w:rsid w:val="007139FC"/>
    <w:rsid w:val="00713E62"/>
    <w:rsid w:val="0071525E"/>
    <w:rsid w:val="00716578"/>
    <w:rsid w:val="00722245"/>
    <w:rsid w:val="00722BC6"/>
    <w:rsid w:val="00723950"/>
    <w:rsid w:val="00732309"/>
    <w:rsid w:val="00732F64"/>
    <w:rsid w:val="00733836"/>
    <w:rsid w:val="00740AC2"/>
    <w:rsid w:val="00743991"/>
    <w:rsid w:val="00753479"/>
    <w:rsid w:val="00753EB4"/>
    <w:rsid w:val="007602C0"/>
    <w:rsid w:val="00764895"/>
    <w:rsid w:val="007723E2"/>
    <w:rsid w:val="00774D17"/>
    <w:rsid w:val="007819A8"/>
    <w:rsid w:val="00781C1A"/>
    <w:rsid w:val="0078205B"/>
    <w:rsid w:val="007848C4"/>
    <w:rsid w:val="00796588"/>
    <w:rsid w:val="007A1798"/>
    <w:rsid w:val="007A5A5D"/>
    <w:rsid w:val="007B0F7C"/>
    <w:rsid w:val="007B243D"/>
    <w:rsid w:val="007B5D97"/>
    <w:rsid w:val="007C0A13"/>
    <w:rsid w:val="007D358D"/>
    <w:rsid w:val="007D35C5"/>
    <w:rsid w:val="007D6B52"/>
    <w:rsid w:val="007E0B55"/>
    <w:rsid w:val="007E2F29"/>
    <w:rsid w:val="007E312F"/>
    <w:rsid w:val="007E3B84"/>
    <w:rsid w:val="007E4641"/>
    <w:rsid w:val="007E49F4"/>
    <w:rsid w:val="007F07FB"/>
    <w:rsid w:val="007F260F"/>
    <w:rsid w:val="007F4E6F"/>
    <w:rsid w:val="007F5BCA"/>
    <w:rsid w:val="007F64F0"/>
    <w:rsid w:val="008033DC"/>
    <w:rsid w:val="008056B6"/>
    <w:rsid w:val="00807B13"/>
    <w:rsid w:val="0081092B"/>
    <w:rsid w:val="00810D72"/>
    <w:rsid w:val="008126BD"/>
    <w:rsid w:val="00817BF4"/>
    <w:rsid w:val="00822337"/>
    <w:rsid w:val="0082444D"/>
    <w:rsid w:val="00830340"/>
    <w:rsid w:val="008343D1"/>
    <w:rsid w:val="00834997"/>
    <w:rsid w:val="00844BB5"/>
    <w:rsid w:val="008553AB"/>
    <w:rsid w:val="00855594"/>
    <w:rsid w:val="00862C60"/>
    <w:rsid w:val="008632FA"/>
    <w:rsid w:val="00863DF3"/>
    <w:rsid w:val="008712C3"/>
    <w:rsid w:val="00877DC4"/>
    <w:rsid w:val="008935E3"/>
    <w:rsid w:val="008A222F"/>
    <w:rsid w:val="008A2EE0"/>
    <w:rsid w:val="008A4B6D"/>
    <w:rsid w:val="008A6B3C"/>
    <w:rsid w:val="008B13B9"/>
    <w:rsid w:val="008B30C5"/>
    <w:rsid w:val="008B7482"/>
    <w:rsid w:val="008C686E"/>
    <w:rsid w:val="008D07AE"/>
    <w:rsid w:val="008E5C25"/>
    <w:rsid w:val="008E7304"/>
    <w:rsid w:val="009028B6"/>
    <w:rsid w:val="00903AB0"/>
    <w:rsid w:val="00905AF7"/>
    <w:rsid w:val="00907D59"/>
    <w:rsid w:val="00911981"/>
    <w:rsid w:val="00916BA9"/>
    <w:rsid w:val="009206EE"/>
    <w:rsid w:val="00933040"/>
    <w:rsid w:val="00943D5F"/>
    <w:rsid w:val="009516C2"/>
    <w:rsid w:val="00952FCF"/>
    <w:rsid w:val="009544D9"/>
    <w:rsid w:val="00957411"/>
    <w:rsid w:val="00962E14"/>
    <w:rsid w:val="0096328D"/>
    <w:rsid w:val="0097006F"/>
    <w:rsid w:val="00980705"/>
    <w:rsid w:val="00982AC9"/>
    <w:rsid w:val="0098395A"/>
    <w:rsid w:val="00983FE7"/>
    <w:rsid w:val="00985C35"/>
    <w:rsid w:val="00986C73"/>
    <w:rsid w:val="009938B8"/>
    <w:rsid w:val="00995EA4"/>
    <w:rsid w:val="009970D9"/>
    <w:rsid w:val="00997358"/>
    <w:rsid w:val="009A0E58"/>
    <w:rsid w:val="009A1E8C"/>
    <w:rsid w:val="009A22EC"/>
    <w:rsid w:val="009A479E"/>
    <w:rsid w:val="009A4951"/>
    <w:rsid w:val="009B20CA"/>
    <w:rsid w:val="009B256D"/>
    <w:rsid w:val="009B69F5"/>
    <w:rsid w:val="009C07EB"/>
    <w:rsid w:val="009D166D"/>
    <w:rsid w:val="009D6DAE"/>
    <w:rsid w:val="009D7D12"/>
    <w:rsid w:val="009E32EE"/>
    <w:rsid w:val="009E4C21"/>
    <w:rsid w:val="009E789A"/>
    <w:rsid w:val="00A05A93"/>
    <w:rsid w:val="00A06FBB"/>
    <w:rsid w:val="00A0707D"/>
    <w:rsid w:val="00A10A15"/>
    <w:rsid w:val="00A1141B"/>
    <w:rsid w:val="00A14CB3"/>
    <w:rsid w:val="00A17B56"/>
    <w:rsid w:val="00A2042A"/>
    <w:rsid w:val="00A219F5"/>
    <w:rsid w:val="00A2550C"/>
    <w:rsid w:val="00A26813"/>
    <w:rsid w:val="00A35E95"/>
    <w:rsid w:val="00A37889"/>
    <w:rsid w:val="00A4029E"/>
    <w:rsid w:val="00A576D4"/>
    <w:rsid w:val="00A6332D"/>
    <w:rsid w:val="00A717A8"/>
    <w:rsid w:val="00A7317A"/>
    <w:rsid w:val="00A73A28"/>
    <w:rsid w:val="00A75C0C"/>
    <w:rsid w:val="00A76C15"/>
    <w:rsid w:val="00A90A11"/>
    <w:rsid w:val="00A96410"/>
    <w:rsid w:val="00AA0403"/>
    <w:rsid w:val="00AA4315"/>
    <w:rsid w:val="00AA62E5"/>
    <w:rsid w:val="00AA7B80"/>
    <w:rsid w:val="00AC030F"/>
    <w:rsid w:val="00AC31ED"/>
    <w:rsid w:val="00AD023A"/>
    <w:rsid w:val="00AD3EE3"/>
    <w:rsid w:val="00AD479C"/>
    <w:rsid w:val="00AE6786"/>
    <w:rsid w:val="00AE7F32"/>
    <w:rsid w:val="00AF17FE"/>
    <w:rsid w:val="00AF2E1F"/>
    <w:rsid w:val="00AF564E"/>
    <w:rsid w:val="00AF7AFE"/>
    <w:rsid w:val="00B059F6"/>
    <w:rsid w:val="00B117EE"/>
    <w:rsid w:val="00B12C61"/>
    <w:rsid w:val="00B13500"/>
    <w:rsid w:val="00B141E3"/>
    <w:rsid w:val="00B1639B"/>
    <w:rsid w:val="00B1771D"/>
    <w:rsid w:val="00B22E01"/>
    <w:rsid w:val="00B2360B"/>
    <w:rsid w:val="00B23C24"/>
    <w:rsid w:val="00B24E61"/>
    <w:rsid w:val="00B277BF"/>
    <w:rsid w:val="00B338F4"/>
    <w:rsid w:val="00B352ED"/>
    <w:rsid w:val="00B40549"/>
    <w:rsid w:val="00B45364"/>
    <w:rsid w:val="00B4570A"/>
    <w:rsid w:val="00B46E0C"/>
    <w:rsid w:val="00B475AE"/>
    <w:rsid w:val="00B477C4"/>
    <w:rsid w:val="00B52CF3"/>
    <w:rsid w:val="00B54674"/>
    <w:rsid w:val="00B55663"/>
    <w:rsid w:val="00B561EC"/>
    <w:rsid w:val="00B57CC6"/>
    <w:rsid w:val="00B60287"/>
    <w:rsid w:val="00B635C8"/>
    <w:rsid w:val="00B640B0"/>
    <w:rsid w:val="00B730AD"/>
    <w:rsid w:val="00B77196"/>
    <w:rsid w:val="00B84A7C"/>
    <w:rsid w:val="00B86714"/>
    <w:rsid w:val="00B90669"/>
    <w:rsid w:val="00B96D68"/>
    <w:rsid w:val="00BA165E"/>
    <w:rsid w:val="00BA435A"/>
    <w:rsid w:val="00BA6CB0"/>
    <w:rsid w:val="00BB2A74"/>
    <w:rsid w:val="00BB4EAB"/>
    <w:rsid w:val="00BB5775"/>
    <w:rsid w:val="00BB689C"/>
    <w:rsid w:val="00BC1A6A"/>
    <w:rsid w:val="00BC2663"/>
    <w:rsid w:val="00BC3A73"/>
    <w:rsid w:val="00BC4868"/>
    <w:rsid w:val="00BC741A"/>
    <w:rsid w:val="00BC761C"/>
    <w:rsid w:val="00BD6400"/>
    <w:rsid w:val="00BD65B3"/>
    <w:rsid w:val="00BD71D2"/>
    <w:rsid w:val="00BD79E3"/>
    <w:rsid w:val="00BE4A98"/>
    <w:rsid w:val="00BE55DA"/>
    <w:rsid w:val="00BF5A7C"/>
    <w:rsid w:val="00C00E09"/>
    <w:rsid w:val="00C01CE3"/>
    <w:rsid w:val="00C0503B"/>
    <w:rsid w:val="00C05499"/>
    <w:rsid w:val="00C06B41"/>
    <w:rsid w:val="00C14CF4"/>
    <w:rsid w:val="00C1549D"/>
    <w:rsid w:val="00C170D1"/>
    <w:rsid w:val="00C17289"/>
    <w:rsid w:val="00C1739B"/>
    <w:rsid w:val="00C23D0B"/>
    <w:rsid w:val="00C25860"/>
    <w:rsid w:val="00C25DFC"/>
    <w:rsid w:val="00C30C0C"/>
    <w:rsid w:val="00C3583F"/>
    <w:rsid w:val="00C36EF7"/>
    <w:rsid w:val="00C37BA8"/>
    <w:rsid w:val="00C37F13"/>
    <w:rsid w:val="00C512A3"/>
    <w:rsid w:val="00C51BA8"/>
    <w:rsid w:val="00C538F4"/>
    <w:rsid w:val="00C573A1"/>
    <w:rsid w:val="00C57508"/>
    <w:rsid w:val="00C57978"/>
    <w:rsid w:val="00C61FA3"/>
    <w:rsid w:val="00C64CB5"/>
    <w:rsid w:val="00C678FA"/>
    <w:rsid w:val="00C703D1"/>
    <w:rsid w:val="00C760FC"/>
    <w:rsid w:val="00C8255A"/>
    <w:rsid w:val="00C826D3"/>
    <w:rsid w:val="00C8657D"/>
    <w:rsid w:val="00C94F0C"/>
    <w:rsid w:val="00C95699"/>
    <w:rsid w:val="00C96494"/>
    <w:rsid w:val="00C97A58"/>
    <w:rsid w:val="00CA0DE8"/>
    <w:rsid w:val="00CA3381"/>
    <w:rsid w:val="00CA5BB1"/>
    <w:rsid w:val="00CB4050"/>
    <w:rsid w:val="00CB6AAD"/>
    <w:rsid w:val="00CD0C7A"/>
    <w:rsid w:val="00CD618C"/>
    <w:rsid w:val="00CE2EB9"/>
    <w:rsid w:val="00CE476B"/>
    <w:rsid w:val="00CE4DDF"/>
    <w:rsid w:val="00CE55BF"/>
    <w:rsid w:val="00CE7E37"/>
    <w:rsid w:val="00CF3580"/>
    <w:rsid w:val="00D03E7D"/>
    <w:rsid w:val="00D07015"/>
    <w:rsid w:val="00D100DF"/>
    <w:rsid w:val="00D1177F"/>
    <w:rsid w:val="00D178F3"/>
    <w:rsid w:val="00D22826"/>
    <w:rsid w:val="00D236B5"/>
    <w:rsid w:val="00D26084"/>
    <w:rsid w:val="00D32703"/>
    <w:rsid w:val="00D35B87"/>
    <w:rsid w:val="00D36D15"/>
    <w:rsid w:val="00D41786"/>
    <w:rsid w:val="00D421FA"/>
    <w:rsid w:val="00D4582A"/>
    <w:rsid w:val="00D4606B"/>
    <w:rsid w:val="00D47A83"/>
    <w:rsid w:val="00D47E14"/>
    <w:rsid w:val="00D50CBA"/>
    <w:rsid w:val="00D52E87"/>
    <w:rsid w:val="00D536C6"/>
    <w:rsid w:val="00D57586"/>
    <w:rsid w:val="00D60231"/>
    <w:rsid w:val="00D6228E"/>
    <w:rsid w:val="00D62D60"/>
    <w:rsid w:val="00D63581"/>
    <w:rsid w:val="00D63DE7"/>
    <w:rsid w:val="00D64203"/>
    <w:rsid w:val="00D6634A"/>
    <w:rsid w:val="00D6635F"/>
    <w:rsid w:val="00D66A65"/>
    <w:rsid w:val="00D73219"/>
    <w:rsid w:val="00D755AA"/>
    <w:rsid w:val="00D82EA7"/>
    <w:rsid w:val="00D833EC"/>
    <w:rsid w:val="00D83A64"/>
    <w:rsid w:val="00D85AA6"/>
    <w:rsid w:val="00D87B2A"/>
    <w:rsid w:val="00D926E8"/>
    <w:rsid w:val="00DA0140"/>
    <w:rsid w:val="00DA705E"/>
    <w:rsid w:val="00DB7DDB"/>
    <w:rsid w:val="00DC0EAC"/>
    <w:rsid w:val="00DC1EAB"/>
    <w:rsid w:val="00DD5E03"/>
    <w:rsid w:val="00DE26A1"/>
    <w:rsid w:val="00DE29C7"/>
    <w:rsid w:val="00DE30A0"/>
    <w:rsid w:val="00DE4615"/>
    <w:rsid w:val="00DE72E8"/>
    <w:rsid w:val="00DE7E76"/>
    <w:rsid w:val="00DF7B5B"/>
    <w:rsid w:val="00E02E8A"/>
    <w:rsid w:val="00E03C67"/>
    <w:rsid w:val="00E10E28"/>
    <w:rsid w:val="00E146A3"/>
    <w:rsid w:val="00E172F8"/>
    <w:rsid w:val="00E2222F"/>
    <w:rsid w:val="00E279C9"/>
    <w:rsid w:val="00E31F8C"/>
    <w:rsid w:val="00E40E74"/>
    <w:rsid w:val="00E4274B"/>
    <w:rsid w:val="00E47B30"/>
    <w:rsid w:val="00E54848"/>
    <w:rsid w:val="00E55F7F"/>
    <w:rsid w:val="00E60AAF"/>
    <w:rsid w:val="00E61996"/>
    <w:rsid w:val="00E62710"/>
    <w:rsid w:val="00E632DB"/>
    <w:rsid w:val="00E65B1D"/>
    <w:rsid w:val="00E708F1"/>
    <w:rsid w:val="00E71778"/>
    <w:rsid w:val="00E74003"/>
    <w:rsid w:val="00E77243"/>
    <w:rsid w:val="00E816C3"/>
    <w:rsid w:val="00E82869"/>
    <w:rsid w:val="00E82BE2"/>
    <w:rsid w:val="00E868E6"/>
    <w:rsid w:val="00E8759A"/>
    <w:rsid w:val="00E97B68"/>
    <w:rsid w:val="00E97D97"/>
    <w:rsid w:val="00EA01CB"/>
    <w:rsid w:val="00EA4E66"/>
    <w:rsid w:val="00EA5B53"/>
    <w:rsid w:val="00EA67D6"/>
    <w:rsid w:val="00EA6D5E"/>
    <w:rsid w:val="00EB13D1"/>
    <w:rsid w:val="00EC1B76"/>
    <w:rsid w:val="00EC6287"/>
    <w:rsid w:val="00ED7DA1"/>
    <w:rsid w:val="00EE5E4B"/>
    <w:rsid w:val="00EE7403"/>
    <w:rsid w:val="00EF0035"/>
    <w:rsid w:val="00EF28F2"/>
    <w:rsid w:val="00EF297E"/>
    <w:rsid w:val="00EF40BB"/>
    <w:rsid w:val="00EF7DFE"/>
    <w:rsid w:val="00F02D04"/>
    <w:rsid w:val="00F056C4"/>
    <w:rsid w:val="00F125FF"/>
    <w:rsid w:val="00F131BB"/>
    <w:rsid w:val="00F139E6"/>
    <w:rsid w:val="00F26143"/>
    <w:rsid w:val="00F2784F"/>
    <w:rsid w:val="00F32579"/>
    <w:rsid w:val="00F33F37"/>
    <w:rsid w:val="00F36D13"/>
    <w:rsid w:val="00F37CDD"/>
    <w:rsid w:val="00F41E45"/>
    <w:rsid w:val="00F43831"/>
    <w:rsid w:val="00F465A9"/>
    <w:rsid w:val="00F47494"/>
    <w:rsid w:val="00F475D5"/>
    <w:rsid w:val="00F5022C"/>
    <w:rsid w:val="00F50E72"/>
    <w:rsid w:val="00F51348"/>
    <w:rsid w:val="00F54341"/>
    <w:rsid w:val="00F60D14"/>
    <w:rsid w:val="00F63F16"/>
    <w:rsid w:val="00F64AE4"/>
    <w:rsid w:val="00F71D30"/>
    <w:rsid w:val="00F73311"/>
    <w:rsid w:val="00F75BF3"/>
    <w:rsid w:val="00F76BDC"/>
    <w:rsid w:val="00F77954"/>
    <w:rsid w:val="00F82D01"/>
    <w:rsid w:val="00F87438"/>
    <w:rsid w:val="00F97EEB"/>
    <w:rsid w:val="00FA2AC8"/>
    <w:rsid w:val="00FA2C29"/>
    <w:rsid w:val="00FB17AF"/>
    <w:rsid w:val="00FB7545"/>
    <w:rsid w:val="00FC0C00"/>
    <w:rsid w:val="00FC36CD"/>
    <w:rsid w:val="00FC6CEE"/>
    <w:rsid w:val="00FD0331"/>
    <w:rsid w:val="00FD11EC"/>
    <w:rsid w:val="00FD1790"/>
    <w:rsid w:val="00FE1AA5"/>
    <w:rsid w:val="00FE5D5C"/>
    <w:rsid w:val="00FF01DB"/>
    <w:rsid w:val="00FF5531"/>
    <w:rsid w:val="00FF758F"/>
  </w:rsids>
  <m:mathPr>
    <m:mathFont m:val="Cambria Math"/>
    <m:brkBin m:val="before"/>
    <m:brkBinSub m:val="--"/>
    <m:smallFrac m:val="0"/>
    <m:dispDef/>
    <m:lMargin m:val="0"/>
    <m:rMargin m:val="0"/>
    <m:defJc m:val="centerGroup"/>
    <m:wrapRight/>
    <m:intLim m:val="subSup"/>
    <m:naryLim m:val="undOvr"/>
  </m:mathPr>
  <w:attachedSchema w:val="urn-legalmacpac-data/10"/>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8"/>
    <o:shapelayout v:ext="edit">
      <o:idmap v:ext="edit" data="1"/>
    </o:shapelayout>
  </w:shapeDefaults>
  <w:doNotEmbedSmartTags/>
  <w:decimalSymbol w:val="."/>
  <w:listSeparator w:val=","/>
  <w14:docId w14:val="70CE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hAnsi="Arial Narrow" w:eastAsia="Times New Roman" w:cs="Times New Roman"/>
        <w:sz w:val="22"/>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uiPriority="10"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45658"/>
  </w:style>
  <w:style w:type="paragraph" w:styleId="Heading1">
    <w:name w:val="heading 1"/>
    <w:basedOn w:val="Normal"/>
    <w:next w:val="BodyText"/>
    <w:link w:val="Heading1Char"/>
    <w:qFormat/>
    <w:pPr>
      <w:keepNext/>
      <w:spacing w:before="240" w:after="240"/>
      <w:jc w:val="center"/>
      <w:outlineLvl w:val="0"/>
    </w:pPr>
    <w:rPr>
      <w:b/>
      <w:u w:val="single"/>
    </w:rPr>
  </w:style>
  <w:style w:type="paragraph" w:styleId="Heading2">
    <w:name w:val="heading 2"/>
    <w:basedOn w:val="Normal"/>
    <w:next w:val="BodyText"/>
    <w:qFormat/>
    <w:pPr>
      <w:keepNext/>
      <w:numPr>
        <w:ilvl w:val="1"/>
        <w:numId w:val="8"/>
      </w:numPr>
      <w:tabs>
        <w:tab w:val="left" w:pos="720"/>
      </w:tabs>
      <w:spacing w:before="480" w:after="240"/>
      <w:outlineLvl w:val="1"/>
    </w:pPr>
    <w:rPr>
      <w:u w:val="single"/>
    </w:rPr>
  </w:style>
  <w:style w:type="paragraph" w:styleId="Heading3">
    <w:name w:val="heading 3"/>
    <w:basedOn w:val="Normal"/>
    <w:next w:val="BodyText"/>
    <w:qFormat/>
    <w:pPr>
      <w:keepNext/>
      <w:numPr>
        <w:ilvl w:val="2"/>
        <w:numId w:val="8"/>
      </w:numPr>
      <w:spacing w:before="120"/>
      <w:outlineLvl w:val="2"/>
    </w:pPr>
    <w:rPr>
      <w:u w:val="single"/>
    </w:rPr>
  </w:style>
  <w:style w:type="paragraph" w:styleId="Heading4">
    <w:name w:val="heading 4"/>
    <w:basedOn w:val="Normal"/>
    <w:next w:val="BodyText"/>
    <w:qFormat/>
    <w:pPr>
      <w:keepNext/>
      <w:numPr>
        <w:ilvl w:val="3"/>
        <w:numId w:val="8"/>
      </w:numPr>
      <w:spacing w:before="120"/>
      <w:outlineLvl w:val="3"/>
    </w:pPr>
    <w:rPr>
      <w:i/>
    </w:rPr>
  </w:style>
  <w:style w:type="paragraph" w:styleId="Heading5">
    <w:name w:val="heading 5"/>
    <w:basedOn w:val="Normal"/>
    <w:next w:val="BodyText"/>
    <w:qFormat/>
    <w:pPr>
      <w:numPr>
        <w:ilvl w:val="4"/>
        <w:numId w:val="8"/>
      </w:numPr>
      <w:spacing w:after="240"/>
      <w:outlineLvl w:val="4"/>
    </w:pPr>
  </w:style>
  <w:style w:type="paragraph" w:styleId="Heading6">
    <w:name w:val="heading 6"/>
    <w:basedOn w:val="Normal"/>
    <w:next w:val="BodyText"/>
    <w:qFormat/>
    <w:pPr>
      <w:numPr>
        <w:ilvl w:val="5"/>
        <w:numId w:val="8"/>
      </w:numPr>
      <w:spacing w:after="240"/>
      <w:outlineLvl w:val="5"/>
    </w:pPr>
  </w:style>
  <w:style w:type="paragraph" w:styleId="Heading7">
    <w:name w:val="heading 7"/>
    <w:basedOn w:val="Normal"/>
    <w:next w:val="BodyText"/>
    <w:qFormat/>
    <w:pPr>
      <w:numPr>
        <w:ilvl w:val="6"/>
        <w:numId w:val="8"/>
      </w:numPr>
      <w:spacing w:after="240"/>
      <w:outlineLvl w:val="6"/>
    </w:pPr>
  </w:style>
  <w:style w:type="paragraph" w:styleId="Heading8">
    <w:name w:val="heading 8"/>
    <w:basedOn w:val="Normal"/>
    <w:next w:val="BodyText"/>
    <w:qFormat/>
    <w:pPr>
      <w:numPr>
        <w:ilvl w:val="7"/>
        <w:numId w:val="8"/>
      </w:numPr>
      <w:spacing w:after="240"/>
      <w:outlineLvl w:val="7"/>
    </w:pPr>
  </w:style>
  <w:style w:type="paragraph" w:styleId="Heading9">
    <w:name w:val="heading 9"/>
    <w:basedOn w:val="Normal"/>
    <w:next w:val="BodyText"/>
    <w:qFormat/>
    <w:pPr>
      <w:numPr>
        <w:ilvl w:val="8"/>
        <w:numId w:val="8"/>
      </w:numPr>
      <w:spacing w:after="24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pPr>
      <w:spacing w:after="240"/>
    </w:pPr>
  </w:style>
  <w:style w:type="paragraph" w:styleId="BlockText">
    <w:name w:val="Block Text"/>
    <w:basedOn w:val="Normal"/>
    <w:pPr>
      <w:spacing w:after="240"/>
      <w:ind w:left="1440" w:right="1440"/>
    </w:pPr>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720"/>
    </w:pPr>
  </w:style>
  <w:style w:type="paragraph" w:styleId="BodyTextIndent">
    <w:name w:val="Body Text Indent"/>
    <w:basedOn w:val="Normal"/>
    <w:pPr>
      <w:spacing w:after="240"/>
      <w:ind w:left="720"/>
    </w:pPr>
  </w:style>
  <w:style w:type="paragraph" w:styleId="BodyTextFirstIndent2">
    <w:name w:val="Body Text First Indent 2"/>
    <w:basedOn w:val="BodyTextIndent"/>
    <w:pPr>
      <w:spacing w:after="0" w:line="480" w:lineRule="auto"/>
      <w:ind w:left="0" w:firstLine="720"/>
    </w:pPr>
  </w:style>
  <w:style w:type="paragraph" w:styleId="BodyTextIndent2">
    <w:name w:val="Body Text Indent 2"/>
    <w:basedOn w:val="Normal"/>
    <w:pPr>
      <w:spacing w:line="480" w:lineRule="auto"/>
      <w:ind w:left="720"/>
    </w:pPr>
  </w:style>
  <w:style w:type="paragraph" w:styleId="BodyTextIndent3">
    <w:name w:val="Body Text Indent 3"/>
    <w:basedOn w:val="Normal"/>
    <w:pPr>
      <w:spacing w:after="240"/>
      <w:ind w:left="1440"/>
    </w:pPr>
  </w:style>
  <w:style w:type="paragraph" w:styleId="Closing">
    <w:name w:val="Closing"/>
    <w:basedOn w:val="Normal"/>
    <w:next w:val="Signature"/>
    <w:pPr>
      <w:keepNext/>
      <w:spacing w:after="600"/>
    </w:pPr>
  </w:style>
  <w:style w:type="paragraph" w:styleId="Signature">
    <w:name w:val="Signature"/>
    <w:basedOn w:val="Normal"/>
    <w:next w:val="BodyText"/>
    <w:pPr>
      <w:tabs>
        <w:tab w:val="right" w:leader="underscore" w:pos="9360"/>
      </w:tabs>
      <w:spacing w:after="240"/>
      <w:ind w:left="5040"/>
    </w:pPr>
  </w:style>
  <w:style w:type="paragraph" w:styleId="Date">
    <w:name w:val="Date"/>
    <w:basedOn w:val="Normal"/>
    <w:next w:val="BodyText"/>
    <w:pPr>
      <w:spacing w:after="480"/>
    </w:pPr>
  </w:style>
  <w:style w:type="paragraph" w:styleId="EnvelopeAddress">
    <w:name w:val="envelope address"/>
    <w:basedOn w:val="Normal"/>
    <w:pPr>
      <w:framePr w:w="7920" w:h="1980" w:hSpace="180" w:wrap="auto" w:hAnchor="page" w:xAlign="center" w:yAlign="bottom" w:hRule="exact"/>
      <w:ind w:left="2880"/>
    </w:pPr>
  </w:style>
  <w:style w:type="paragraph" w:styleId="Footer">
    <w:name w:val="footer"/>
    <w:basedOn w:val="Normal"/>
    <w:link w:val="FooterChar"/>
    <w:uiPriority w:val="99"/>
    <w:pPr>
      <w:tabs>
        <w:tab w:val="center" w:pos="4680"/>
        <w:tab w:val="right" w:pos="9360"/>
      </w:tabs>
    </w:pPr>
  </w:style>
  <w:style w:type="paragraph" w:styleId="FootnoteText">
    <w:name w:val="footnote text"/>
    <w:basedOn w:val="Normal"/>
    <w:semiHidden/>
    <w:pPr>
      <w:spacing w:line="240" w:lineRule="exact"/>
      <w:ind w:left="432" w:hanging="432"/>
    </w:pPr>
    <w:rPr>
      <w:sz w:val="20"/>
    </w:r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autoRedefine/>
    <w:rsid w:val="00877DC4"/>
    <w:pPr>
      <w:numPr>
        <w:numId w:val="18"/>
      </w:numPr>
      <w:spacing w:after="240"/>
    </w:pPr>
    <w:rPr>
      <w:iCs/>
      <w:szCs w:val="24"/>
    </w:rPr>
  </w:style>
  <w:style w:type="paragraph" w:styleId="ListBullet2">
    <w:name w:val="List Bullet 2"/>
    <w:basedOn w:val="Normal"/>
    <w:autoRedefine/>
    <w:pPr>
      <w:tabs>
        <w:tab w:val="left" w:pos="760"/>
      </w:tabs>
    </w:pPr>
    <w:rPr>
      <w:szCs w:val="24"/>
    </w:rPr>
  </w:style>
  <w:style w:type="paragraph" w:styleId="ListBullet3">
    <w:name w:val="List Bullet 3"/>
    <w:basedOn w:val="Normal"/>
    <w:autoRedefine/>
    <w:pPr>
      <w:numPr>
        <w:numId w:val="7"/>
      </w:numPr>
      <w:tabs>
        <w:tab w:val="clear" w:pos="1080"/>
      </w:tabs>
      <w:ind w:left="831"/>
    </w:pPr>
    <w:rPr>
      <w:szCs w:val="24"/>
    </w:rPr>
  </w:style>
  <w:style w:type="paragraph" w:styleId="ListBullet4">
    <w:name w:val="List Bullet 4"/>
    <w:basedOn w:val="Normal"/>
    <w:pPr>
      <w:numPr>
        <w:numId w:val="1"/>
      </w:numPr>
      <w:tabs>
        <w:tab w:val="clear" w:pos="1080"/>
        <w:tab w:val="num" w:pos="2160"/>
      </w:tabs>
      <w:ind w:left="2160" w:hanging="720"/>
    </w:pPr>
  </w:style>
  <w:style w:type="paragraph" w:styleId="ListBullet5">
    <w:name w:val="List Bullet 5"/>
    <w:basedOn w:val="Normal"/>
    <w:autoRedefine/>
    <w:pPr>
      <w:numPr>
        <w:numId w:val="2"/>
      </w:numPr>
    </w:pPr>
  </w:style>
  <w:style w:type="paragraph" w:styleId="ListContinue">
    <w:name w:val="List Continue"/>
    <w:basedOn w:val="Normal"/>
    <w:pPr>
      <w:spacing w:after="240"/>
      <w:ind w:left="720"/>
    </w:pPr>
  </w:style>
  <w:style w:type="paragraph" w:styleId="ListContinue2">
    <w:name w:val="List Continue 2"/>
    <w:basedOn w:val="Normal"/>
    <w:pPr>
      <w:spacing w:line="480" w:lineRule="auto"/>
      <w:ind w:left="720"/>
    </w:pPr>
  </w:style>
  <w:style w:type="paragraph" w:styleId="ListContinue3">
    <w:name w:val="List Continue 3"/>
    <w:basedOn w:val="Normal"/>
    <w:pPr>
      <w:spacing w:after="240"/>
      <w:ind w:left="1440"/>
    </w:pPr>
  </w:style>
  <w:style w:type="paragraph" w:styleId="ListContinue4">
    <w:name w:val="List Continue 4"/>
    <w:basedOn w:val="Normal"/>
    <w:pPr>
      <w:spacing w:line="480" w:lineRule="auto"/>
      <w:ind w:left="1440"/>
    </w:pPr>
  </w:style>
  <w:style w:type="paragraph" w:styleId="ListContinue5">
    <w:name w:val="List Continue 5"/>
    <w:basedOn w:val="Normal"/>
    <w:pPr>
      <w:spacing w:after="240"/>
      <w:ind w:left="2160"/>
    </w:pPr>
  </w:style>
  <w:style w:type="paragraph" w:styleId="ListNumber">
    <w:name w:val="List Number"/>
    <w:basedOn w:val="Normal"/>
    <w:pPr>
      <w:numPr>
        <w:numId w:val="9"/>
      </w:numPr>
      <w:spacing w:after="240"/>
    </w:pPr>
  </w:style>
  <w:style w:type="paragraph" w:styleId="ListNumber2">
    <w:name w:val="List Number 2"/>
    <w:basedOn w:val="Normal"/>
    <w:pPr>
      <w:numPr>
        <w:numId w:val="3"/>
      </w:numPr>
      <w:spacing w:after="240"/>
    </w:pPr>
  </w:style>
  <w:style w:type="paragraph" w:styleId="ListNumber3">
    <w:name w:val="List Number 3"/>
    <w:basedOn w:val="Normal"/>
    <w:pPr>
      <w:numPr>
        <w:numId w:val="4"/>
      </w:numPr>
      <w:spacing w:after="240"/>
    </w:pPr>
  </w:style>
  <w:style w:type="paragraph" w:styleId="ListNumber4">
    <w:name w:val="List Number 4"/>
    <w:basedOn w:val="Normal"/>
    <w:pPr>
      <w:numPr>
        <w:numId w:val="5"/>
      </w:numPr>
      <w:spacing w:after="240"/>
    </w:pPr>
  </w:style>
  <w:style w:type="paragraph" w:styleId="ListNumber5">
    <w:name w:val="List Number 5"/>
    <w:basedOn w:val="Normal"/>
    <w:pPr>
      <w:numPr>
        <w:numId w:val="6"/>
      </w:numPr>
      <w:spacing w:after="240"/>
    </w:pPr>
  </w:style>
  <w:style w:type="character" w:styleId="PageNumber">
    <w:name w:val="page number"/>
    <w:basedOn w:val="DefaultParagraphFont"/>
  </w:style>
  <w:style w:type="paragraph" w:styleId="ReLine" w:customStyle="1">
    <w:name w:val="ReLine"/>
    <w:basedOn w:val="Normal"/>
    <w:pPr>
      <w:ind w:left="720" w:right="1440" w:hanging="720"/>
    </w:pPr>
    <w:rPr>
      <w:b/>
      <w:bCs/>
    </w:rPr>
  </w:style>
  <w:style w:type="paragraph" w:styleId="Salutation">
    <w:name w:val="Salutation"/>
    <w:basedOn w:val="Normal"/>
    <w:next w:val="BodyTextFirstIndent"/>
    <w:pPr>
      <w:spacing w:after="240"/>
    </w:pPr>
  </w:style>
  <w:style w:type="paragraph" w:styleId="Subtitle">
    <w:name w:val="Subtitle"/>
    <w:basedOn w:val="Normal"/>
    <w:next w:val="BodyText"/>
    <w:link w:val="SubtitleChar"/>
    <w:qFormat/>
    <w:pPr>
      <w:spacing w:after="480"/>
      <w:jc w:val="center"/>
    </w:pPr>
    <w:rPr>
      <w:b/>
      <w:kern w:val="28"/>
    </w:rPr>
  </w:style>
  <w:style w:type="paragraph" w:styleId="Title">
    <w:name w:val="Title"/>
    <w:basedOn w:val="Normal"/>
    <w:next w:val="BodyText"/>
    <w:link w:val="TitleChar"/>
    <w:uiPriority w:val="10"/>
    <w:qFormat/>
    <w:pPr>
      <w:spacing w:after="480"/>
      <w:jc w:val="center"/>
    </w:pPr>
    <w:rPr>
      <w:b/>
      <w:smallCaps/>
      <w:kern w:val="28"/>
      <w:sz w:val="30"/>
    </w:rPr>
  </w:style>
  <w:style w:type="paragraph" w:styleId="TOC1">
    <w:name w:val="toc 1"/>
    <w:basedOn w:val="Normal"/>
    <w:next w:val="Normal"/>
    <w:autoRedefine/>
    <w:uiPriority w:val="39"/>
    <w:rsid w:val="004C5E6F"/>
    <w:pPr>
      <w:keepNext/>
      <w:tabs>
        <w:tab w:val="left" w:pos="720"/>
        <w:tab w:val="right" w:leader="dot" w:pos="9360"/>
      </w:tabs>
      <w:spacing w:before="240"/>
      <w:ind w:left="720" w:right="720" w:hanging="720"/>
    </w:pPr>
    <w:rPr>
      <w:b/>
    </w:rPr>
  </w:style>
  <w:style w:type="paragraph" w:styleId="TOC2">
    <w:name w:val="toc 2"/>
    <w:basedOn w:val="Normal"/>
    <w:next w:val="Normal"/>
    <w:autoRedefine/>
    <w:uiPriority w:val="39"/>
    <w:rsid w:val="003A0746"/>
    <w:pPr>
      <w:tabs>
        <w:tab w:val="left" w:pos="1440"/>
        <w:tab w:val="right" w:leader="dot" w:pos="9360"/>
      </w:tabs>
      <w:ind w:left="1440" w:right="720" w:hanging="720"/>
    </w:pPr>
  </w:style>
  <w:style w:type="paragraph" w:styleId="TOC3">
    <w:name w:val="toc 3"/>
    <w:basedOn w:val="Normal"/>
    <w:next w:val="Normal"/>
    <w:autoRedefine/>
    <w:semiHidden/>
    <w:pPr>
      <w:tabs>
        <w:tab w:val="right" w:leader="dot" w:pos="9360"/>
      </w:tabs>
      <w:ind w:left="2160" w:right="720" w:hanging="720"/>
    </w:pPr>
  </w:style>
  <w:style w:type="paragraph" w:styleId="TOC4">
    <w:name w:val="toc 4"/>
    <w:basedOn w:val="Normal"/>
    <w:next w:val="Normal"/>
    <w:autoRedefine/>
    <w:semiHidden/>
    <w:pPr>
      <w:tabs>
        <w:tab w:val="right" w:leader="dot" w:pos="9360"/>
      </w:tabs>
      <w:ind w:left="2880" w:right="720" w:hanging="720"/>
    </w:pPr>
  </w:style>
  <w:style w:type="paragraph" w:styleId="TOC5">
    <w:name w:val="toc 5"/>
    <w:basedOn w:val="Normal"/>
    <w:next w:val="Normal"/>
    <w:autoRedefine/>
    <w:semiHidden/>
    <w:pPr>
      <w:tabs>
        <w:tab w:val="right" w:leader="dot" w:pos="9360"/>
      </w:tabs>
      <w:ind w:left="3600" w:right="720" w:hanging="720"/>
    </w:pPr>
  </w:style>
  <w:style w:type="paragraph" w:styleId="TOC6">
    <w:name w:val="toc 6"/>
    <w:basedOn w:val="Normal"/>
    <w:next w:val="Normal"/>
    <w:autoRedefine/>
    <w:semiHidden/>
    <w:pPr>
      <w:tabs>
        <w:tab w:val="right" w:leader="dot" w:pos="9360"/>
      </w:tabs>
      <w:ind w:left="4320" w:right="720" w:hanging="720"/>
    </w:pPr>
  </w:style>
  <w:style w:type="paragraph" w:styleId="TOC7">
    <w:name w:val="toc 7"/>
    <w:basedOn w:val="Normal"/>
    <w:next w:val="Normal"/>
    <w:autoRedefine/>
    <w:semiHidden/>
    <w:pPr>
      <w:tabs>
        <w:tab w:val="right" w:leader="dot" w:pos="9360"/>
      </w:tabs>
      <w:ind w:left="5040" w:right="720" w:hanging="720"/>
    </w:pPr>
  </w:style>
  <w:style w:type="paragraph" w:styleId="TOC8">
    <w:name w:val="toc 8"/>
    <w:basedOn w:val="Normal"/>
    <w:next w:val="Normal"/>
    <w:autoRedefine/>
    <w:semiHidden/>
    <w:pPr>
      <w:tabs>
        <w:tab w:val="right" w:leader="dot" w:pos="9360"/>
      </w:tabs>
      <w:ind w:left="5760" w:right="720" w:hanging="720"/>
    </w:pPr>
  </w:style>
  <w:style w:type="paragraph" w:styleId="TOC9">
    <w:name w:val="toc 9"/>
    <w:basedOn w:val="Normal"/>
    <w:next w:val="Normal"/>
    <w:autoRedefine/>
    <w:semiHidden/>
    <w:pPr>
      <w:tabs>
        <w:tab w:val="right" w:leader="dot" w:pos="9360"/>
      </w:tabs>
      <w:ind w:left="6480" w:right="720" w:hanging="720"/>
    </w:pPr>
  </w:style>
  <w:style w:type="character" w:styleId="FootnoteReference">
    <w:name w:val="footnote reference"/>
    <w:semiHidden/>
    <w:rPr>
      <w:vertAlign w:val="superscript"/>
    </w:rPr>
  </w:style>
  <w:style w:type="paragraph" w:styleId="Subparagraph" w:customStyle="1">
    <w:name w:val="Subparagraph"/>
    <w:basedOn w:val="Normal"/>
    <w:pPr>
      <w:keepNext/>
      <w:tabs>
        <w:tab w:val="left" w:pos="360"/>
      </w:tabs>
      <w:spacing w:after="240"/>
      <w:ind w:left="720"/>
    </w:pPr>
    <w:rPr>
      <w:i/>
      <w:iCs/>
      <w:u w:val="single"/>
    </w:rPr>
  </w:style>
  <w:style w:type="character" w:styleId="Strong">
    <w:name w:val="Strong"/>
    <w:uiPriority w:val="22"/>
    <w:qFormat/>
    <w:rPr>
      <w:b/>
      <w:bCs/>
    </w:rPr>
  </w:style>
  <w:style w:type="paragraph" w:styleId="3" w:customStyle="1">
    <w:name w:val="3"/>
    <w:basedOn w:val="Heading2"/>
    <w:pPr>
      <w:tabs>
        <w:tab w:val="clear" w:pos="1080"/>
      </w:tabs>
      <w:ind w:hanging="360"/>
    </w:pPr>
  </w:style>
  <w:style w:type="character" w:styleId="Hyperlink">
    <w:name w:val="Hyperlink"/>
    <w:uiPriority w:val="99"/>
    <w:rPr>
      <w:color w:val="0000FF"/>
      <w:u w:val="single"/>
    </w:rPr>
  </w:style>
  <w:style w:type="paragraph" w:styleId="Default" w:customStyle="1">
    <w:name w:val="Default"/>
    <w:pPr>
      <w:autoSpaceDE w:val="0"/>
      <w:autoSpaceDN w:val="0"/>
      <w:adjustRightInd w:val="0"/>
    </w:pPr>
    <w:rPr>
      <w:rFonts w:ascii="SymbolMT" w:hAnsi="SymbolMT"/>
    </w:rPr>
  </w:style>
  <w:style w:type="character" w:styleId="FollowedHyperlink">
    <w:name w:val="FollowedHyperlink"/>
    <w:rPr>
      <w:color w:val="800080"/>
      <w:u w:val="single"/>
    </w:rPr>
  </w:style>
  <w:style w:type="paragraph" w:styleId="Blockquote" w:customStyle="1">
    <w:name w:val="Blockquote"/>
    <w:basedOn w:val="Normal"/>
    <w:pPr>
      <w:autoSpaceDE w:val="0"/>
      <w:autoSpaceDN w:val="0"/>
      <w:adjustRightInd w:val="0"/>
      <w:spacing w:before="100" w:after="100"/>
      <w:ind w:left="360" w:right="360"/>
    </w:pPr>
    <w:rPr>
      <w:szCs w:val="24"/>
    </w:rPr>
  </w:style>
  <w:style w:type="paragraph" w:styleId="BalloonText">
    <w:name w:val="Balloon Text"/>
    <w:basedOn w:val="Normal"/>
    <w:semiHidden/>
    <w:rPr>
      <w:rFonts w:ascii="Tahoma" w:hAnsi="Tahoma" w:cs="Tahoma"/>
      <w:sz w:val="16"/>
      <w:szCs w:val="16"/>
    </w:rPr>
  </w:style>
  <w:style w:type="paragraph" w:styleId="a" w:customStyle="1">
    <w:basedOn w:val="Normal"/>
    <w:pPr>
      <w:tabs>
        <w:tab w:val="left" w:pos="540"/>
        <w:tab w:val="left" w:pos="1260"/>
        <w:tab w:val="left" w:pos="1800"/>
      </w:tabs>
      <w:spacing w:before="240" w:after="160" w:line="240" w:lineRule="exact"/>
    </w:pPr>
    <w:rPr>
      <w:rFonts w:ascii="Verdana" w:hAnsi="Verdana"/>
    </w:rPr>
  </w:style>
  <w:style w:type="character" w:styleId="DocID" w:customStyle="1">
    <w:name w:val="DocID"/>
    <w:rPr>
      <w:sz w:val="16"/>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link w:val="BodyText"/>
    <w:rsid w:val="00D421FA"/>
    <w:rPr>
      <w:sz w:val="24"/>
    </w:rPr>
  </w:style>
  <w:style w:type="character" w:styleId="TitleChar" w:customStyle="1">
    <w:name w:val="Title Char"/>
    <w:link w:val="Title"/>
    <w:uiPriority w:val="10"/>
    <w:rsid w:val="004C452D"/>
    <w:rPr>
      <w:b/>
      <w:smallCaps/>
      <w:kern w:val="28"/>
      <w:sz w:val="30"/>
    </w:rPr>
  </w:style>
  <w:style w:type="paragraph" w:styleId="Subtitle-NoTOC" w:customStyle="1">
    <w:name w:val="Subtitle-NoTOC"/>
    <w:basedOn w:val="Subtitle"/>
    <w:rsid w:val="004C452D"/>
    <w:pPr>
      <w:framePr w:hSpace="187" w:wrap="around" w:hAnchor="page" w:vAnchor="page" w:x="1081" w:y="721"/>
      <w:tabs>
        <w:tab w:val="center" w:pos="4680"/>
        <w:tab w:val="right" w:pos="9360"/>
      </w:tabs>
      <w:spacing w:after="0"/>
      <w:suppressOverlap/>
      <w:jc w:val="left"/>
    </w:pPr>
    <w:rPr>
      <w:rFonts w:ascii="TradeGothic LT Bold" w:hAnsi="TradeGothic LT Bold" w:eastAsia="Calibri" w:cs="Arial"/>
      <w:b w:val="0"/>
      <w:caps/>
      <w:kern w:val="0"/>
      <w:sz w:val="30"/>
      <w:szCs w:val="24"/>
    </w:rPr>
  </w:style>
  <w:style w:type="character" w:styleId="FooterChar" w:customStyle="1">
    <w:name w:val="Footer Char"/>
    <w:link w:val="Footer"/>
    <w:uiPriority w:val="99"/>
    <w:rsid w:val="004C452D"/>
    <w:rPr>
      <w:sz w:val="24"/>
    </w:rPr>
  </w:style>
  <w:style w:type="paragraph" w:styleId="TitleSecondpages" w:customStyle="1">
    <w:name w:val="Title Second pages"/>
    <w:qFormat/>
    <w:rsid w:val="00C678FA"/>
    <w:rPr>
      <w:rFonts w:ascii="TradeGothic LT Bold" w:hAnsi="TradeGothic LT Bold" w:eastAsia="Calibri" w:cs="Arial"/>
      <w:caps/>
      <w:color w:val="7FADBC"/>
      <w:sz w:val="30"/>
      <w:szCs w:val="28"/>
    </w:rPr>
  </w:style>
  <w:style w:type="character" w:styleId="Heading1Char" w:customStyle="1">
    <w:name w:val="Heading 1 Char"/>
    <w:link w:val="Heading1"/>
    <w:rsid w:val="00B40549"/>
    <w:rPr>
      <w:b/>
      <w:sz w:val="24"/>
      <w:u w:val="single"/>
    </w:rPr>
  </w:style>
  <w:style w:type="character" w:styleId="HeaderChar" w:customStyle="1">
    <w:name w:val="Header Char"/>
    <w:link w:val="Header"/>
    <w:uiPriority w:val="99"/>
    <w:rsid w:val="00213E5F"/>
    <w:rPr>
      <w:sz w:val="24"/>
    </w:rPr>
  </w:style>
  <w:style w:type="paragraph" w:styleId="HeadingSubtitle-TOC2" w:customStyle="1">
    <w:name w:val="Heading Subtitle - TOC 2"/>
    <w:qFormat/>
    <w:rsid w:val="00213E5F"/>
    <w:pPr>
      <w:spacing w:before="120" w:after="600" w:line="240" w:lineRule="atLeast"/>
      <w:ind w:left="1152"/>
      <w:outlineLvl w:val="1"/>
    </w:pPr>
    <w:rPr>
      <w:rFonts w:ascii="Arial Bold" w:hAnsi="Arial Bold"/>
      <w:b/>
      <w:bCs/>
      <w:caps/>
      <w:sz w:val="30"/>
      <w:szCs w:val="26"/>
    </w:rPr>
  </w:style>
  <w:style w:type="paragraph" w:styleId="GHdrSubtitle2" w:customStyle="1">
    <w:name w:val="G_Hdr_Subtitle2"/>
    <w:qFormat/>
    <w:rsid w:val="0005457D"/>
    <w:pPr>
      <w:tabs>
        <w:tab w:val="left" w:pos="4143"/>
      </w:tabs>
      <w:spacing w:before="40" w:after="480" w:line="240" w:lineRule="atLeast"/>
      <w:ind w:left="1188"/>
    </w:pPr>
    <w:rPr>
      <w:rFonts w:ascii="Arial Bold" w:hAnsi="Arial Bold" w:eastAsia="Calibri"/>
      <w:b/>
      <w:caps/>
      <w:color w:val="FFFFFF"/>
      <w:sz w:val="30"/>
      <w:szCs w:val="22"/>
    </w:rPr>
  </w:style>
  <w:style w:type="paragraph" w:styleId="MacPacTrailer" w:customStyle="1">
    <w:name w:val="MacPac Trailer"/>
    <w:basedOn w:val="Normal"/>
    <w:rsid w:val="00EE7403"/>
    <w:pPr>
      <w:widowControl w:val="0"/>
    </w:pPr>
    <w:rPr>
      <w:sz w:val="16"/>
      <w:szCs w:val="22"/>
    </w:rPr>
  </w:style>
  <w:style w:type="character" w:styleId="PlaceholderText">
    <w:name w:val="Placeholder Text"/>
    <w:uiPriority w:val="99"/>
    <w:semiHidden/>
    <w:rsid w:val="00EE7403"/>
    <w:rPr>
      <w:color w:val="808080"/>
    </w:rPr>
  </w:style>
  <w:style w:type="character" w:styleId="CommentReference">
    <w:name w:val="annotation reference"/>
    <w:rsid w:val="0016571D"/>
    <w:rPr>
      <w:sz w:val="16"/>
      <w:szCs w:val="16"/>
    </w:rPr>
  </w:style>
  <w:style w:type="paragraph" w:styleId="CommentText">
    <w:name w:val="annotation text"/>
    <w:basedOn w:val="Normal"/>
    <w:link w:val="CommentTextChar"/>
    <w:rsid w:val="0016571D"/>
    <w:rPr>
      <w:sz w:val="20"/>
    </w:rPr>
  </w:style>
  <w:style w:type="character" w:styleId="CommentTextChar" w:customStyle="1">
    <w:name w:val="Comment Text Char"/>
    <w:basedOn w:val="DefaultParagraphFont"/>
    <w:link w:val="CommentText"/>
    <w:rsid w:val="0016571D"/>
  </w:style>
  <w:style w:type="paragraph" w:styleId="CommentSubject">
    <w:name w:val="annotation subject"/>
    <w:basedOn w:val="CommentText"/>
    <w:next w:val="CommentText"/>
    <w:link w:val="CommentSubjectChar"/>
    <w:rsid w:val="0016571D"/>
    <w:rPr>
      <w:b/>
      <w:bCs/>
    </w:rPr>
  </w:style>
  <w:style w:type="character" w:styleId="CommentSubjectChar" w:customStyle="1">
    <w:name w:val="Comment Subject Char"/>
    <w:link w:val="CommentSubject"/>
    <w:rsid w:val="0016571D"/>
    <w:rPr>
      <w:b/>
      <w:bCs/>
    </w:rPr>
  </w:style>
  <w:style w:type="character" w:styleId="UnresolvedMention">
    <w:name w:val="Unresolved Mention"/>
    <w:uiPriority w:val="99"/>
    <w:semiHidden/>
    <w:unhideWhenUsed/>
    <w:rsid w:val="00D63DE7"/>
    <w:rPr>
      <w:color w:val="605E5C"/>
      <w:shd w:val="clear" w:color="auto" w:fill="E1DFDD"/>
    </w:rPr>
  </w:style>
  <w:style w:type="paragraph" w:styleId="Revision">
    <w:name w:val="Revision"/>
    <w:hidden/>
    <w:uiPriority w:val="99"/>
    <w:semiHidden/>
    <w:rsid w:val="00F475D5"/>
    <w:rPr>
      <w:sz w:val="24"/>
    </w:rPr>
  </w:style>
  <w:style w:type="paragraph" w:styleId="TOCHeading">
    <w:name w:val="TOC Heading"/>
    <w:basedOn w:val="Heading1"/>
    <w:next w:val="Normal"/>
    <w:uiPriority w:val="39"/>
    <w:unhideWhenUsed/>
    <w:qFormat/>
    <w:rsid w:val="006A0D5C"/>
    <w:pPr>
      <w:keepLines/>
      <w:spacing w:after="0" w:line="259" w:lineRule="auto"/>
      <w:jc w:val="left"/>
      <w:outlineLvl w:val="9"/>
    </w:pPr>
    <w:rPr>
      <w:rFonts w:ascii="Calibri Light" w:hAnsi="Calibri Light"/>
      <w:b w:val="0"/>
      <w:color w:val="2F5496"/>
      <w:sz w:val="32"/>
      <w:szCs w:val="32"/>
      <w:u w:val="none"/>
    </w:rPr>
  </w:style>
  <w:style w:type="character" w:styleId="SubtitleChar" w:customStyle="1">
    <w:name w:val="Subtitle Char"/>
    <w:basedOn w:val="DefaultParagraphFont"/>
    <w:link w:val="Subtitle"/>
    <w:rsid w:val="001A4AA3"/>
    <w:rPr>
      <w:b/>
      <w:kern w:val="28"/>
      <w:sz w:val="24"/>
    </w:rPr>
  </w:style>
  <w:style w:type="paragraph" w:styleId="ListParagraph">
    <w:name w:val="List Paragraph"/>
    <w:basedOn w:val="Normal"/>
    <w:uiPriority w:val="34"/>
    <w:qFormat/>
    <w:rsid w:val="00264FC4"/>
    <w:pPr>
      <w:numPr>
        <w:numId w:val="32"/>
      </w:numPr>
      <w:spacing w:after="240"/>
    </w:pPr>
  </w:style>
  <w:style w:type="paragraph" w:styleId="flush-paragraph" w:customStyle="1">
    <w:name w:val="flush-paragraph"/>
    <w:basedOn w:val="Normal"/>
    <w:rsid w:val="009A22EC"/>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D22826"/>
    <w:rPr>
      <w:i/>
      <w:iCs/>
    </w:rPr>
  </w:style>
  <w:style w:type="paragraph" w:styleId="NormalWeb">
    <w:name w:val="Normal (Web)"/>
    <w:basedOn w:val="Normal"/>
    <w:uiPriority w:val="99"/>
    <w:unhideWhenUsed/>
    <w:rsid w:val="00E2222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8371">
      <w:bodyDiv w:val="1"/>
      <w:marLeft w:val="0"/>
      <w:marRight w:val="0"/>
      <w:marTop w:val="0"/>
      <w:marBottom w:val="0"/>
      <w:divBdr>
        <w:top w:val="none" w:sz="0" w:space="0" w:color="auto"/>
        <w:left w:val="none" w:sz="0" w:space="0" w:color="auto"/>
        <w:bottom w:val="none" w:sz="0" w:space="0" w:color="auto"/>
        <w:right w:val="none" w:sz="0" w:space="0" w:color="auto"/>
      </w:divBdr>
    </w:div>
    <w:div w:id="266813633">
      <w:bodyDiv w:val="1"/>
      <w:marLeft w:val="0"/>
      <w:marRight w:val="0"/>
      <w:marTop w:val="0"/>
      <w:marBottom w:val="0"/>
      <w:divBdr>
        <w:top w:val="none" w:sz="0" w:space="0" w:color="auto"/>
        <w:left w:val="none" w:sz="0" w:space="0" w:color="auto"/>
        <w:bottom w:val="none" w:sz="0" w:space="0" w:color="auto"/>
        <w:right w:val="none" w:sz="0" w:space="0" w:color="auto"/>
      </w:divBdr>
    </w:div>
    <w:div w:id="840315449">
      <w:bodyDiv w:val="1"/>
      <w:marLeft w:val="0"/>
      <w:marRight w:val="0"/>
      <w:marTop w:val="0"/>
      <w:marBottom w:val="0"/>
      <w:divBdr>
        <w:top w:val="none" w:sz="0" w:space="0" w:color="auto"/>
        <w:left w:val="none" w:sz="0" w:space="0" w:color="auto"/>
        <w:bottom w:val="none" w:sz="0" w:space="0" w:color="auto"/>
        <w:right w:val="none" w:sz="0" w:space="0" w:color="auto"/>
      </w:divBdr>
    </w:div>
    <w:div w:id="1089346350">
      <w:bodyDiv w:val="1"/>
      <w:marLeft w:val="0"/>
      <w:marRight w:val="0"/>
      <w:marTop w:val="0"/>
      <w:marBottom w:val="0"/>
      <w:divBdr>
        <w:top w:val="none" w:sz="0" w:space="0" w:color="auto"/>
        <w:left w:val="none" w:sz="0" w:space="0" w:color="auto"/>
        <w:bottom w:val="none" w:sz="0" w:space="0" w:color="auto"/>
        <w:right w:val="none" w:sz="0" w:space="0" w:color="auto"/>
      </w:divBdr>
    </w:div>
    <w:div w:id="1272281392">
      <w:bodyDiv w:val="1"/>
      <w:marLeft w:val="0"/>
      <w:marRight w:val="0"/>
      <w:marTop w:val="0"/>
      <w:marBottom w:val="0"/>
      <w:divBdr>
        <w:top w:val="none" w:sz="0" w:space="0" w:color="auto"/>
        <w:left w:val="none" w:sz="0" w:space="0" w:color="auto"/>
        <w:bottom w:val="none" w:sz="0" w:space="0" w:color="auto"/>
        <w:right w:val="none" w:sz="0" w:space="0" w:color="auto"/>
      </w:divBdr>
    </w:div>
    <w:div w:id="1307858301">
      <w:bodyDiv w:val="1"/>
      <w:marLeft w:val="0"/>
      <w:marRight w:val="0"/>
      <w:marTop w:val="0"/>
      <w:marBottom w:val="0"/>
      <w:divBdr>
        <w:top w:val="none" w:sz="0" w:space="0" w:color="auto"/>
        <w:left w:val="none" w:sz="0" w:space="0" w:color="auto"/>
        <w:bottom w:val="none" w:sz="0" w:space="0" w:color="auto"/>
        <w:right w:val="none" w:sz="0" w:space="0" w:color="auto"/>
      </w:divBdr>
    </w:div>
    <w:div w:id="1367102774">
      <w:bodyDiv w:val="1"/>
      <w:marLeft w:val="0"/>
      <w:marRight w:val="0"/>
      <w:marTop w:val="0"/>
      <w:marBottom w:val="0"/>
      <w:divBdr>
        <w:top w:val="none" w:sz="0" w:space="0" w:color="auto"/>
        <w:left w:val="none" w:sz="0" w:space="0" w:color="auto"/>
        <w:bottom w:val="none" w:sz="0" w:space="0" w:color="auto"/>
        <w:right w:val="none" w:sz="0" w:space="0" w:color="auto"/>
      </w:divBdr>
    </w:div>
    <w:div w:id="1753046163">
      <w:bodyDiv w:val="1"/>
      <w:marLeft w:val="0"/>
      <w:marRight w:val="0"/>
      <w:marTop w:val="0"/>
      <w:marBottom w:val="0"/>
      <w:divBdr>
        <w:top w:val="none" w:sz="0" w:space="0" w:color="auto"/>
        <w:left w:val="none" w:sz="0" w:space="0" w:color="auto"/>
        <w:bottom w:val="none" w:sz="0" w:space="0" w:color="auto"/>
        <w:right w:val="none" w:sz="0" w:space="0" w:color="auto"/>
      </w:divBdr>
    </w:div>
    <w:div w:id="1891457379">
      <w:bodyDiv w:val="1"/>
      <w:marLeft w:val="0"/>
      <w:marRight w:val="0"/>
      <w:marTop w:val="0"/>
      <w:marBottom w:val="0"/>
      <w:divBdr>
        <w:top w:val="none" w:sz="0" w:space="0" w:color="auto"/>
        <w:left w:val="none" w:sz="0" w:space="0" w:color="auto"/>
        <w:bottom w:val="none" w:sz="0" w:space="0" w:color="auto"/>
        <w:right w:val="none" w:sz="0" w:space="0" w:color="auto"/>
      </w:divBdr>
    </w:div>
    <w:div w:id="1988438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ecfr.gov/current/title-17/section-240.14a-101" TargetMode="External" Id="rId117" /><Relationship Type="http://schemas.openxmlformats.org/officeDocument/2006/relationships/hyperlink" Target="https://www.ecfr.gov/current/title-17/chapter-II/part-240/section-240.14a-101" TargetMode="External" Id="rId21" /><Relationship Type="http://schemas.openxmlformats.org/officeDocument/2006/relationships/hyperlink" Target="https://www.ecfr.gov/current/title-17/chapter-II/part-229" TargetMode="External" Id="rId42" /><Relationship Type="http://schemas.openxmlformats.org/officeDocument/2006/relationships/hyperlink" Target="https://www.ecfr.gov/current/title-17/chapter-II/part-229" TargetMode="External" Id="rId63" /><Relationship Type="http://schemas.openxmlformats.org/officeDocument/2006/relationships/hyperlink" Target="https://www.sec.gov/corpfin/non-gaap-financial-measures" TargetMode="External" Id="rId84" /><Relationship Type="http://schemas.openxmlformats.org/officeDocument/2006/relationships/hyperlink" Target="https://www.ecfr.gov/current/title-17/section-240.14a-19" TargetMode="External" Id="rId138" /><Relationship Type="http://schemas.openxmlformats.org/officeDocument/2006/relationships/hyperlink" Target="https://www.ecfr.gov/current/title-17/chapter-II/part-229/subpart-229.400/section-229.407" TargetMode="External" Id="rId107" /><Relationship Type="http://schemas.openxmlformats.org/officeDocument/2006/relationships/hyperlink" Target="https://www.goodwinlaw.com/publications/2021/08/08_09_sec-approves-nasdaq-board-diversity-rules" TargetMode="External" Id="rId11" /><Relationship Type="http://schemas.openxmlformats.org/officeDocument/2006/relationships/hyperlink" Target="https://www.sec.gov/divisions/corpfin/guidance/regs-kinterp.htm" TargetMode="External" Id="rId32" /><Relationship Type="http://schemas.openxmlformats.org/officeDocument/2006/relationships/hyperlink" Target="https://www.ecfr.gov/current/title-17/chapter-II/part-229/subpart-229.400/section-229.407" TargetMode="External" Id="rId53" /><Relationship Type="http://schemas.openxmlformats.org/officeDocument/2006/relationships/hyperlink" Target="https://www.ecfr.gov/current/title-17/chapter-II/part-229/subpart-229.400/section-229.406" TargetMode="External" Id="rId74" /><Relationship Type="http://schemas.openxmlformats.org/officeDocument/2006/relationships/hyperlink" Target="https://listingcenter.nasdaq.com/rulebook/nasdaq/rules/Nasdaq%205600%20Series" TargetMode="External" Id="rId128" /><Relationship Type="http://schemas.openxmlformats.org/officeDocument/2006/relationships/footer" Target="footer4.xml" Id="rId149" /><Relationship Type="http://schemas.openxmlformats.org/officeDocument/2006/relationships/webSettings" Target="webSettings.xml" Id="rId5" /><Relationship Type="http://schemas.openxmlformats.org/officeDocument/2006/relationships/hyperlink" Target="https://www.ecfr.gov/current/title-17/chapter-II/part-229/subpart-229.400/section-229.402" TargetMode="External" Id="rId95" /><Relationship Type="http://schemas.openxmlformats.org/officeDocument/2006/relationships/hyperlink" Target="https://www.ecfr.gov/current/title-17/chapter-II/part-240/section-240.14a-6" TargetMode="External" Id="rId22" /><Relationship Type="http://schemas.openxmlformats.org/officeDocument/2006/relationships/hyperlink" Target="https://www.goodwinlaw.com/publications/2020/03/03_16-sec-provides-guidance-on-virtual-meetings" TargetMode="External" Id="rId27" /><Relationship Type="http://schemas.openxmlformats.org/officeDocument/2006/relationships/hyperlink" Target="https://www.ecfr.gov/current/title-17/chapter-II/part-229" TargetMode="External" Id="rId43" /><Relationship Type="http://schemas.openxmlformats.org/officeDocument/2006/relationships/hyperlink" Target="https://www.goodwinlaw.com/minisites/year-end-tool-kit" TargetMode="External" Id="rId48" /><Relationship Type="http://schemas.openxmlformats.org/officeDocument/2006/relationships/hyperlink" Target="https://www.ecfr.gov/current/title-17/chapter-II/part-229/subpart-229.400/section-229.407" TargetMode="External" Id="rId64" /><Relationship Type="http://schemas.openxmlformats.org/officeDocument/2006/relationships/hyperlink" Target="https://www.ecfr.gov/current/title-17/chapter-II/part-229/subpart-229.400/section-229.407" TargetMode="External" Id="rId69" /><Relationship Type="http://schemas.openxmlformats.org/officeDocument/2006/relationships/hyperlink" Target="https://www.ecfr.gov/current/title-17/section-240.14a-101" TargetMode="External" Id="rId113" /><Relationship Type="http://schemas.openxmlformats.org/officeDocument/2006/relationships/hyperlink" Target="https://www.ecfr.gov/current/title-17/section-240.14a-101" TargetMode="External" Id="rId118" /><Relationship Type="http://schemas.openxmlformats.org/officeDocument/2006/relationships/hyperlink" Target="https://www.ecfr.gov/current/title-17/chapter-II/part-240/section-240.14a-4" TargetMode="External" Id="rId134" /><Relationship Type="http://schemas.openxmlformats.org/officeDocument/2006/relationships/hyperlink" Target="https://www.ecfr.gov/current/title-17/section-240.14a-4" TargetMode="External" Id="rId139" /><Relationship Type="http://schemas.openxmlformats.org/officeDocument/2006/relationships/hyperlink" Target="https://www.ecfr.gov/current/title-17/chapter-II/part-229" TargetMode="External" Id="rId80" /><Relationship Type="http://schemas.openxmlformats.org/officeDocument/2006/relationships/hyperlink" Target="https://www.sec.gov/corpfin/non-gaap-financial-measures" TargetMode="External" Id="rId85" /><Relationship Type="http://schemas.openxmlformats.org/officeDocument/2006/relationships/header" Target="header5.xml" Id="rId150" /><Relationship Type="http://schemas.openxmlformats.org/officeDocument/2006/relationships/fontTable" Target="fontTable.xml" Id="rId155" /><Relationship Type="http://schemas.openxmlformats.org/officeDocument/2006/relationships/hyperlink" Target="https://listingcenter.nasdaq.com/assets/Board%20Diversity%20Disclosure%20Matrix.pdf" TargetMode="External" Id="rId12" /><Relationship Type="http://schemas.openxmlformats.org/officeDocument/2006/relationships/hyperlink" Target="http://www.sec.gov/rules/final/2011/33-9178.pdf" TargetMode="External" Id="rId17" /><Relationship Type="http://schemas.openxmlformats.org/officeDocument/2006/relationships/hyperlink" Target="https://listingcenter.nasdaq.com/rulebook/nasdaq/rules/nasdaq-5600-series" TargetMode="External" Id="rId33" /><Relationship Type="http://schemas.openxmlformats.org/officeDocument/2006/relationships/hyperlink" Target="https://www.ecfr.gov/current/title-17/chapter-II/part-229" TargetMode="External" Id="rId38" /><Relationship Type="http://schemas.openxmlformats.org/officeDocument/2006/relationships/hyperlink" Target="https://www.ecfr.gov/current/title-17/chapter-II/part-229/subpart-229.400/section-229.407" TargetMode="External" Id="rId59" /><Relationship Type="http://schemas.openxmlformats.org/officeDocument/2006/relationships/hyperlink" Target="https://www.sec.gov/corpfin/announcement/guidance-calculation-pay-ratio-disclosure" TargetMode="External" Id="rId103" /><Relationship Type="http://schemas.openxmlformats.org/officeDocument/2006/relationships/hyperlink" Target="https://www.ecfr.gov/current/title-17/chapter-II/part-229/subpart-229.400/section-229.407" TargetMode="External" Id="rId108" /><Relationship Type="http://schemas.openxmlformats.org/officeDocument/2006/relationships/hyperlink" Target="https://listingcenter.nasdaq.com/rulebook/nasdaq/rules/Nasdaq%205600%20Series" TargetMode="External" Id="rId124" /><Relationship Type="http://schemas.openxmlformats.org/officeDocument/2006/relationships/hyperlink" Target="https://www.goodwinlaw.com/publications/2021/08/08_09_sec-approves-nasdaq-board-diversity-rules" TargetMode="External" Id="rId129" /><Relationship Type="http://schemas.openxmlformats.org/officeDocument/2006/relationships/hyperlink" Target="https://www.sec.gov/divisions/corpfin/guidance/regs-kinterp.htm" TargetMode="External" Id="rId54" /><Relationship Type="http://schemas.openxmlformats.org/officeDocument/2006/relationships/hyperlink" Target="https://www.ecfr.gov/current/title-17/chapter-II/part-229/subpart-229.400/section-229.407" TargetMode="External" Id="rId70" /><Relationship Type="http://schemas.openxmlformats.org/officeDocument/2006/relationships/hyperlink" Target="https://www.ecfr.gov/current/title-17/chapter-II/part-229/subpart-229.400/section-229.406" TargetMode="External" Id="rId75" /><Relationship Type="http://schemas.openxmlformats.org/officeDocument/2006/relationships/hyperlink" Target="https://www.goodwinlaw.com/-/media/files/toolkit/2022/executive-compensation-worksheet-for-smaller-repor.pdf?la=en" TargetMode="External" Id="rId91" /><Relationship Type="http://schemas.openxmlformats.org/officeDocument/2006/relationships/hyperlink" Target="https://www.ecfr.gov/current/title-17/chapter-II/part-229/subpart-229.400/section-229.402" TargetMode="External" Id="rId96" /><Relationship Type="http://schemas.openxmlformats.org/officeDocument/2006/relationships/hyperlink" Target="https://www.ecfr.gov/current/title-17/section-240.14a-6" TargetMode="External" Id="rId140" /><Relationship Type="http://schemas.openxmlformats.org/officeDocument/2006/relationships/footer" Target="footer2.xml" Id="rId145" /><Relationship Type="http://schemas.openxmlformats.org/officeDocument/2006/relationships/footnotes" Target="footnotes.xml" Id="rId6" /><Relationship Type="http://schemas.openxmlformats.org/officeDocument/2006/relationships/hyperlink" Target="https://www.ecfr.gov/current/title-17/chapter-II/part-240/section-240.14a-6" TargetMode="External" Id="rId23" /><Relationship Type="http://schemas.openxmlformats.org/officeDocument/2006/relationships/hyperlink" Target="https://www.ecfr.gov/current/title-17/chapter-II/part-240/section-240.14a-5" TargetMode="External" Id="rId28" /><Relationship Type="http://schemas.openxmlformats.org/officeDocument/2006/relationships/hyperlink" Target="https://www.ecfr.gov/current/title-17/chapter-II/part-229" TargetMode="External" Id="rId49" /><Relationship Type="http://schemas.openxmlformats.org/officeDocument/2006/relationships/hyperlink" Target="https://www.ecfr.gov/current/title-17/section-240.14a-101" TargetMode="External" Id="rId114" /><Relationship Type="http://schemas.openxmlformats.org/officeDocument/2006/relationships/hyperlink" Target="https://www.ecfr.gov/current/title-17/section-210.2-01" TargetMode="External" Id="rId119" /><Relationship Type="http://schemas.openxmlformats.org/officeDocument/2006/relationships/hyperlink" Target="https://www.ecfr.gov/current/title-17/chapter-II/part-229" TargetMode="External" Id="rId44" /><Relationship Type="http://schemas.openxmlformats.org/officeDocument/2006/relationships/hyperlink" Target="https://www.ecfr.gov/current/title-17/chapter-II/part-229" TargetMode="External" Id="rId60" /><Relationship Type="http://schemas.openxmlformats.org/officeDocument/2006/relationships/hyperlink" Target="https://www.ecfr.gov/current/title-17/chapter-II/part-229/subpart-229.400/section-229.407" TargetMode="External" Id="rId65" /><Relationship Type="http://schemas.openxmlformats.org/officeDocument/2006/relationships/hyperlink" Target="https://www.ecfr.gov/current/title-17/chapter-II/part-244" TargetMode="External" Id="rId81" /><Relationship Type="http://schemas.openxmlformats.org/officeDocument/2006/relationships/hyperlink" Target="https://www.sec.gov/corpfin/non-gaap-financial-measures" TargetMode="External" Id="rId86" /><Relationship Type="http://schemas.openxmlformats.org/officeDocument/2006/relationships/hyperlink" Target="https://www.ecfr.gov/current/title-17/chapter-II/part-240/section-240.14a-21" TargetMode="External" Id="rId130" /><Relationship Type="http://schemas.openxmlformats.org/officeDocument/2006/relationships/hyperlink" Target="https://www.sec.gov/divisions/corpfin/guidance/exchange-act-rule-14a-4a3-301.htm" TargetMode="External" Id="rId135" /><Relationship Type="http://schemas.openxmlformats.org/officeDocument/2006/relationships/footer" Target="footer5.xml" Id="rId151" /><Relationship Type="http://schemas.openxmlformats.org/officeDocument/2006/relationships/theme" Target="theme/theme1.xml" Id="rId156" /><Relationship Type="http://schemas.openxmlformats.org/officeDocument/2006/relationships/hyperlink" Target="https://www.sec.gov/ocr/staff-guidance-conducting-annual-meetings-light-covid-19-concerns" TargetMode="External" Id="rId13" /><Relationship Type="http://schemas.openxmlformats.org/officeDocument/2006/relationships/hyperlink" Target="https://www.ecfr.gov/current/title-17/chapter-II/part-240/section-240.14a-21" TargetMode="External" Id="rId18" /><Relationship Type="http://schemas.openxmlformats.org/officeDocument/2006/relationships/hyperlink" Target="https://www.ecfr.gov/current/title-17/chapter-II/part-229" TargetMode="External" Id="rId39" /><Relationship Type="http://schemas.openxmlformats.org/officeDocument/2006/relationships/hyperlink" Target="https://www.ecfr.gov/current/title-17/chapter-II/part-229" TargetMode="External" Id="rId109" /><Relationship Type="http://schemas.openxmlformats.org/officeDocument/2006/relationships/hyperlink" Target="https://www.goodwinlaw.com/publications/2021/08/08_09_sec-approves-nasdaq-board-diversity-rules" TargetMode="External" Id="rId34" /><Relationship Type="http://schemas.openxmlformats.org/officeDocument/2006/relationships/hyperlink" Target="https://www.ecfr.gov/current/title-17/chapter-II/part-229" TargetMode="External" Id="rId50" /><Relationship Type="http://schemas.openxmlformats.org/officeDocument/2006/relationships/hyperlink" Target="https://www.ecfr.gov/current/title-17/chapter-II/part-229/subpart-229.400/section-229.407" TargetMode="External" Id="rId55" /><Relationship Type="http://schemas.openxmlformats.org/officeDocument/2006/relationships/hyperlink" Target="https://www.ecfr.gov/current/title-17/chapter-II/part-229/subpart-229.400/section-229.406" TargetMode="External" Id="rId76" /><Relationship Type="http://schemas.openxmlformats.org/officeDocument/2006/relationships/hyperlink" Target="https://www.ecfr.gov/current/title-17/chapter-II/part-229/subpart-229.400/section-229.402" TargetMode="External" Id="rId97" /><Relationship Type="http://schemas.openxmlformats.org/officeDocument/2006/relationships/hyperlink" Target="https://www.sec.gov/divisions/corpfin/guidance/regs-kinterp.htm" TargetMode="External" Id="rId104" /><Relationship Type="http://schemas.openxmlformats.org/officeDocument/2006/relationships/hyperlink" Target="https://www.ecfr.gov/current/title-17/chapter-II/part-229/subpart-229.300/section-229.304" TargetMode="External" Id="rId120" /><Relationship Type="http://schemas.openxmlformats.org/officeDocument/2006/relationships/hyperlink" Target="https://listingcenter.nasdaq.com/rulebook/nasdaq/rules/Nasdaq%205600%20Series" TargetMode="External" Id="rId125" /><Relationship Type="http://schemas.openxmlformats.org/officeDocument/2006/relationships/hyperlink" Target="https://www.ecfr.gov/current/title-17/section-240.14a-4" TargetMode="External" Id="rId141" /><Relationship Type="http://schemas.openxmlformats.org/officeDocument/2006/relationships/header" Target="header3.xml" Id="rId146" /><Relationship Type="http://schemas.openxmlformats.org/officeDocument/2006/relationships/endnotes" Target="endnotes.xml" Id="rId7" /><Relationship Type="http://schemas.openxmlformats.org/officeDocument/2006/relationships/hyperlink" Target="https://www.ecfr.gov/current/title-17/chapter-II/part-229/subpart-229.400/section-229.407" TargetMode="External" Id="rId71" /><Relationship Type="http://schemas.openxmlformats.org/officeDocument/2006/relationships/hyperlink" Target="https://www.ecfr.gov/current/title-17/chapter-II/part-229/subpart-229.400/section-229.402" TargetMode="External" Id="rId92" /><Relationship Type="http://schemas.openxmlformats.org/officeDocument/2006/relationships/numbering" Target="numbering.xml" Id="rId2" /><Relationship Type="http://schemas.openxmlformats.org/officeDocument/2006/relationships/hyperlink" Target="https://www.ecfr.gov/current/title-17/chapter-II/part-229" TargetMode="External" Id="rId29" /><Relationship Type="http://schemas.openxmlformats.org/officeDocument/2006/relationships/hyperlink" Target="https://www.goodwinlaw.com/publications/2022/02/02_02-sec-filing-fee-exhibit-payment-changes" TargetMode="External" Id="rId24" /><Relationship Type="http://schemas.openxmlformats.org/officeDocument/2006/relationships/hyperlink" Target="https://www.ecfr.gov/current/title-17/chapter-II/part-229" TargetMode="External" Id="rId40" /><Relationship Type="http://schemas.openxmlformats.org/officeDocument/2006/relationships/hyperlink" Target="https://www.ecfr.gov/current/title-17/chapter-II/part-229" TargetMode="External" Id="rId45" /><Relationship Type="http://schemas.openxmlformats.org/officeDocument/2006/relationships/hyperlink" Target="https://www.ecfr.gov/current/title-17/chapter-II/part-229/subpart-229.400/section-229.407" TargetMode="External" Id="rId66" /><Relationship Type="http://schemas.openxmlformats.org/officeDocument/2006/relationships/hyperlink" Target="https://www.ecfr.gov/current/title-17/chapter-II/part-229/subpart-229.400/section-229.402" TargetMode="External" Id="rId87" /><Relationship Type="http://schemas.openxmlformats.org/officeDocument/2006/relationships/hyperlink" Target="https://www.ecfr.gov/current/title-17/chapter-II/part-229/subpart-229.300/section-229.304" TargetMode="External" Id="rId110" /><Relationship Type="http://schemas.openxmlformats.org/officeDocument/2006/relationships/hyperlink" Target="https://www.ecfr.gov/current/title-17/section-240.14a-101" TargetMode="External" Id="rId115" /><Relationship Type="http://schemas.openxmlformats.org/officeDocument/2006/relationships/hyperlink" Target="https://www.ecfr.gov/current/title-17/chapter-II/part-240/section-240.14a-21" TargetMode="External" Id="rId131" /><Relationship Type="http://schemas.openxmlformats.org/officeDocument/2006/relationships/hyperlink" Target="https://www.sec.gov/divisions/corpfin/guidance/14a-interps.htm" TargetMode="External" Id="rId136" /><Relationship Type="http://schemas.openxmlformats.org/officeDocument/2006/relationships/hyperlink" Target="https://www.ecfr.gov/current/title-17/chapter-II/part-229/subpart-229.400/section-229.407" TargetMode="External" Id="rId61" /><Relationship Type="http://schemas.openxmlformats.org/officeDocument/2006/relationships/hyperlink" Target="https://www.ecfr.gov/current/title-17/chapter-II/part-229" TargetMode="External" Id="rId82" /><Relationship Type="http://schemas.openxmlformats.org/officeDocument/2006/relationships/header" Target="header6.xml" Id="rId152" /><Relationship Type="http://schemas.openxmlformats.org/officeDocument/2006/relationships/hyperlink" Target="https://www.ecfr.gov/current/title-17/chapter-II/part-240/section-240.14a-101" TargetMode="External" Id="rId19" /><Relationship Type="http://schemas.openxmlformats.org/officeDocument/2006/relationships/hyperlink" Target="https://www.glasslewis.com/glass-lewis-updated-approach-to-virtual-meetings-globally/" TargetMode="External" Id="rId14" /><Relationship Type="http://schemas.openxmlformats.org/officeDocument/2006/relationships/hyperlink" Target="https://www.ecfr.gov/current/title-17/chapter-II/part-229/subpart-229.400/section-229.403" TargetMode="External" Id="rId30" /><Relationship Type="http://schemas.openxmlformats.org/officeDocument/2006/relationships/hyperlink" Target="https://www.ecfr.gov/current/title-17/chapter-II/part-229" TargetMode="External" Id="rId35" /><Relationship Type="http://schemas.openxmlformats.org/officeDocument/2006/relationships/hyperlink" Target="https://www.ecfr.gov/current/title-17/chapter-II/part-229/subpart-229.400/section-229.407" TargetMode="External" Id="rId56" /><Relationship Type="http://schemas.openxmlformats.org/officeDocument/2006/relationships/hyperlink" Target="https://www.sec.gov/rules/final/33-8177.htm" TargetMode="External" Id="rId77" /><Relationship Type="http://schemas.openxmlformats.org/officeDocument/2006/relationships/hyperlink" Target="https://www.ecfr.gov/current/title-17/chapter-II/part-229/subpart-229.400/section-229.402" TargetMode="External" Id="rId100" /><Relationship Type="http://schemas.openxmlformats.org/officeDocument/2006/relationships/hyperlink" Target="https://www.goodwinlaw.com/publications/2015/08/08_19_15-sec-adopts-final-ceo-pay-ratio-disclosure-rule" TargetMode="External" Id="rId105" /><Relationship Type="http://schemas.openxmlformats.org/officeDocument/2006/relationships/hyperlink" Target="https://listingcenter.nasdaq.com/rulebook/nasdaq/rules/Nasdaq%205600%20Series" TargetMode="External" Id="rId126" /><Relationship Type="http://schemas.openxmlformats.org/officeDocument/2006/relationships/header" Target="header4.xml" Id="rId147" /><Relationship Type="http://schemas.openxmlformats.org/officeDocument/2006/relationships/hyperlink" Target="https://www.sec.gov/rules/final/2021/34-93596.pdf" TargetMode="External" Id="rId8" /><Relationship Type="http://schemas.openxmlformats.org/officeDocument/2006/relationships/hyperlink" Target="https://www.ecfr.gov/current/title-17/chapter-II/part-229" TargetMode="External" Id="rId51" /><Relationship Type="http://schemas.openxmlformats.org/officeDocument/2006/relationships/hyperlink" Target="https://www.ecfr.gov/current/title-17/chapter-II/part-229/subpart-229.400/section-229.407" TargetMode="External" Id="rId72" /><Relationship Type="http://schemas.openxmlformats.org/officeDocument/2006/relationships/hyperlink" Target="https://www.ecfr.gov/current/title-17/chapter-II/part-229/subpart-229.400/section-229.402" TargetMode="External" Id="rId93" /><Relationship Type="http://schemas.openxmlformats.org/officeDocument/2006/relationships/hyperlink" Target="https://www.goodwinlaw.com/-/media/files/toolkit/2022/2-executive-compensation-worksheet--20212022.pdf?la=en" TargetMode="External" Id="rId98" /><Relationship Type="http://schemas.openxmlformats.org/officeDocument/2006/relationships/hyperlink" Target="https://nyse.wolterskluwer.cloud/listed-company-manual/document?treeNodeId=csh-da-filter!WKUS-TAL-DOCS-PHC-%7B0588BF4A-D3B5-4B91-94EA-BE9F17057DF0%7D--WKUS_TAL_5667%23teid-66" TargetMode="External" Id="rId121" /><Relationship Type="http://schemas.openxmlformats.org/officeDocument/2006/relationships/header" Target="header1.xml" Id="rId142" /><Relationship Type="http://schemas.openxmlformats.org/officeDocument/2006/relationships/styles" Target="styles.xml" Id="rId3" /><Relationship Type="http://schemas.openxmlformats.org/officeDocument/2006/relationships/hyperlink" Target="https://www.ecfr.gov/current/title-17/chapter-II/part-240/section-240.14a-5" TargetMode="External" Id="rId25" /><Relationship Type="http://schemas.openxmlformats.org/officeDocument/2006/relationships/hyperlink" Target="https://www.ecfr.gov/current/title-17/chapter-II/part-229" TargetMode="External" Id="rId46" /><Relationship Type="http://schemas.openxmlformats.org/officeDocument/2006/relationships/hyperlink" Target="https://www.ecfr.gov/current/title-17/chapter-II/part-229/subpart-229.400/section-229.407" TargetMode="External" Id="rId67" /><Relationship Type="http://schemas.openxmlformats.org/officeDocument/2006/relationships/hyperlink" Target="https://www.ecfr.gov/current/title-17/section-210.2-01" TargetMode="External" Id="rId116" /><Relationship Type="http://schemas.openxmlformats.org/officeDocument/2006/relationships/hyperlink" Target="https://www.sec.gov/divisions/corpfin/guidance/exchange-act-rule-14a-4a3.htm" TargetMode="External" Id="rId137" /><Relationship Type="http://schemas.openxmlformats.org/officeDocument/2006/relationships/hyperlink" Target="https://www.ecfr.gov/current/title-17/chapter-II/part-240/section-240.14a-101" TargetMode="External" Id="rId20" /><Relationship Type="http://schemas.openxmlformats.org/officeDocument/2006/relationships/hyperlink" Target="https://www.ecfr.gov/current/title-17/chapter-II/part-229" TargetMode="External" Id="rId41" /><Relationship Type="http://schemas.openxmlformats.org/officeDocument/2006/relationships/hyperlink" Target="file://C:\Program%20Files\Goodwin%20Procter\NRPortbl\ACTIVE\JON\Instructions%20to%20Item%20407(d)(5).%201.%20The%20disclosure%20under%20paragraph%20(d)(5)%20of%20this%20Item%20is%20required%20only%20in%20a%20registrant's%20annual%20report.%20The%20registrant%20need%20not%20provide%20the%20disclosure%20required%20by%20paragraph%20(d)(5)%20of%20this%20Item%20in%20a%20proxy%20or%20information%20statement%20unless%20that%20registrant%20is%20electing%20to%20incorporate%20this%20information%20by%20reference%20from%20the%20proxy%20or%20information%20statement%20into%20its%20annual%20report%20pursuant%20to%20General%20Instruction%20G(3)%20to%20Form%2010-K" TargetMode="External" Id="rId62" /><Relationship Type="http://schemas.openxmlformats.org/officeDocument/2006/relationships/hyperlink" Target="https://www.ecfr.gov/current/title-17/chapter-II/part-229" TargetMode="External" Id="rId83" /><Relationship Type="http://schemas.openxmlformats.org/officeDocument/2006/relationships/hyperlink" Target="https://www.ecfr.gov/current/title-17/chapter-II/part-229/subpart-229.400/section-229.402" TargetMode="External" Id="rId88" /><Relationship Type="http://schemas.openxmlformats.org/officeDocument/2006/relationships/hyperlink" Target="https://www.ecfr.gov/current/title-17/section-229.304" TargetMode="External" Id="rId111" /><Relationship Type="http://schemas.openxmlformats.org/officeDocument/2006/relationships/hyperlink" Target="https://www.ecfr.gov/current/title-17/chapter-II/part-240/section-240.14a-4" TargetMode="External" Id="rId132" /><Relationship Type="http://schemas.openxmlformats.org/officeDocument/2006/relationships/header" Target="header7.xml" Id="rId153" /><Relationship Type="http://schemas.openxmlformats.org/officeDocument/2006/relationships/hyperlink" Target="https://www.issgovernance.com/file/policy/active/americas/ISS-Policy-Guidance-for-Impacts-of-the-Coronavirus-Pandemic.pdf" TargetMode="External" Id="rId15" /><Relationship Type="http://schemas.openxmlformats.org/officeDocument/2006/relationships/hyperlink" Target="https://www.ecfr.gov/current/title-17/chapter-II/part-229" TargetMode="External" Id="rId36" /><Relationship Type="http://schemas.openxmlformats.org/officeDocument/2006/relationships/hyperlink" Target="https://www.ecfr.gov/current/title-17/chapter-II/part-229/subpart-229.400/section-229.407" TargetMode="External" Id="rId57" /><Relationship Type="http://schemas.openxmlformats.org/officeDocument/2006/relationships/hyperlink" Target="https://www.goodwinlaw.com/publications/2017/09/09_20_17-planning-for-the-approaching-ceo-pay" TargetMode="External" Id="rId106" /><Relationship Type="http://schemas.openxmlformats.org/officeDocument/2006/relationships/hyperlink" Target="https://listingcenter.nasdaq.com/rulebook/nasdaq/rules/Nasdaq%205600%20Series" TargetMode="External" Id="rId127" /><Relationship Type="http://schemas.openxmlformats.org/officeDocument/2006/relationships/hyperlink" Target="https://listingcenter.nasdaq.com/assets/Board%20Diversity%20Disclosure%20Five%20Things.pdf" TargetMode="External" Id="rId10" /><Relationship Type="http://schemas.openxmlformats.org/officeDocument/2006/relationships/hyperlink" Target="https://www.ecfr.gov/current/title-17/chapter-II/part-229" TargetMode="External" Id="rId31" /><Relationship Type="http://schemas.openxmlformats.org/officeDocument/2006/relationships/hyperlink" Target="https://www.ecfr.gov/current/title-17/chapter-II/part-229" TargetMode="External" Id="rId52" /><Relationship Type="http://schemas.openxmlformats.org/officeDocument/2006/relationships/hyperlink" Target="https://www.ecfr.gov/current/title-17/chapter-II/part-229/subpart-229.400/section-229.406" TargetMode="External" Id="rId73" /><Relationship Type="http://schemas.openxmlformats.org/officeDocument/2006/relationships/hyperlink" Target="https://www.sec.gov/rules/final/33-8177.htm" TargetMode="External" Id="rId78" /><Relationship Type="http://schemas.openxmlformats.org/officeDocument/2006/relationships/hyperlink" Target="https://www.ecfr.gov/current/title-17/chapter-II/part-229/subpart-229.400/section-229.402" TargetMode="External" Id="rId94" /><Relationship Type="http://schemas.openxmlformats.org/officeDocument/2006/relationships/hyperlink" Target="https://www.ecfr.gov/current/title-17/chapter-II/part-229/subpart-229.400/section-229.402" TargetMode="External" Id="rId99" /><Relationship Type="http://schemas.openxmlformats.org/officeDocument/2006/relationships/hyperlink" Target="http://www.sec.gov/rules/final/2015/33-9877.pdf" TargetMode="External" Id="rId101" /><Relationship Type="http://schemas.openxmlformats.org/officeDocument/2006/relationships/hyperlink" Target="https://nyse.wolterskluwer.cloud/listed-company-manual/document?treeNodeId=csh-da-filter!WKUS-TAL-DOCS-PHC-%7B0588BF4A-D3B5-4B91-94EA-BE9F17057DF0%7D--WKUS_TAL_5667%23teid-66" TargetMode="External" Id="rId122" /><Relationship Type="http://schemas.openxmlformats.org/officeDocument/2006/relationships/footer" Target="footer1.xml" Id="rId143" /><Relationship Type="http://schemas.openxmlformats.org/officeDocument/2006/relationships/footer" Target="footer3.xml" Id="rId148" /><Relationship Type="http://schemas.openxmlformats.org/officeDocument/2006/relationships/settings" Target="settings.xml" Id="rId4" /><Relationship Type="http://schemas.openxmlformats.org/officeDocument/2006/relationships/hyperlink" Target="https://www.goodwinlaw.com/publications/2021/11/11_22-sec-adopts-mandatory-universal-proxy-rules" TargetMode="External" Id="rId9" /><Relationship Type="http://schemas.openxmlformats.org/officeDocument/2006/relationships/hyperlink" Target="https://www.sec.gov/ocr/staff-guidance-conducting-annual-meetings-light-covid-19-concerns" TargetMode="External" Id="rId26" /><Relationship Type="http://schemas.openxmlformats.org/officeDocument/2006/relationships/hyperlink" Target="https://www.ecfr.gov/current/title-17/chapter-II/part-229" TargetMode="External" Id="rId47" /><Relationship Type="http://schemas.openxmlformats.org/officeDocument/2006/relationships/hyperlink" Target="https://www.ecfr.gov/current/title-17/chapter-II/part-229/subpart-229.400/section-229.407" TargetMode="External" Id="rId68" /><Relationship Type="http://schemas.openxmlformats.org/officeDocument/2006/relationships/hyperlink" Target="https://www.goodwinlaw.com/-/media/files/toolkit/2022/2-executive-compensation-worksheet--20212022.pdf?la=en" TargetMode="External" Id="rId89" /><Relationship Type="http://schemas.openxmlformats.org/officeDocument/2006/relationships/hyperlink" Target="https://www.ecfr.gov/current/title-17/section-229.304" TargetMode="External" Id="rId112" /><Relationship Type="http://schemas.openxmlformats.org/officeDocument/2006/relationships/hyperlink" Target="https://www.ecfr.gov/current/title-17/chapter-II/part-240/section-240.14a-4" TargetMode="External" Id="rId133" /><Relationship Type="http://schemas.openxmlformats.org/officeDocument/2006/relationships/footer" Target="footer6.xml" Id="rId154" /><Relationship Type="http://schemas.openxmlformats.org/officeDocument/2006/relationships/hyperlink" Target="https://www.ecfr.gov/current/title-17/chapter-II/part-240/section-240.14a-21" TargetMode="External" Id="rId16" /><Relationship Type="http://schemas.openxmlformats.org/officeDocument/2006/relationships/hyperlink" Target="https://www.ecfr.gov/current/title-17/chapter-II/part-229" TargetMode="External" Id="rId37" /><Relationship Type="http://schemas.openxmlformats.org/officeDocument/2006/relationships/hyperlink" Target="https://www.ecfr.gov/current/title-17/chapter-II/part-229/subpart-229.400/section-229.407" TargetMode="External" Id="rId58" /><Relationship Type="http://schemas.openxmlformats.org/officeDocument/2006/relationships/hyperlink" Target="https://www.ecfr.gov/current/title-17/chapter-II/part-244" TargetMode="External" Id="rId79" /><Relationship Type="http://schemas.openxmlformats.org/officeDocument/2006/relationships/hyperlink" Target="https://www.sec.gov/rules/interp/2017/33-10415.pdf" TargetMode="External" Id="rId102" /><Relationship Type="http://schemas.openxmlformats.org/officeDocument/2006/relationships/hyperlink" Target="https://nyse.wolterskluwer.cloud/listed-company-manual/document?treeNodeId=csh-da-filter!WKUS-TAL-DOCS-PHC-%7B0588BF4A-D3B5-4B91-94EA-BE9F17057DF0%7D--WKUS_TAL_5667%23teid-66" TargetMode="External" Id="rId123" /><Relationship Type="http://schemas.openxmlformats.org/officeDocument/2006/relationships/header" Target="header2.xml" Id="rId144" /><Relationship Type="http://schemas.openxmlformats.org/officeDocument/2006/relationships/hyperlink" Target="https://www.goodwinlaw.com/minisites/year-end-tool-kit" TargetMode="External" Id="rId90"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