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008CE" w14:textId="77777777" w:rsidR="003A4AF7" w:rsidRPr="00DB5740" w:rsidRDefault="00E87991" w:rsidP="00AA0403">
      <w:pPr>
        <w:pStyle w:val="Subtitle"/>
        <w:spacing w:after="0"/>
        <w:ind w:left="360"/>
        <w:jc w:val="left"/>
        <w:rPr>
          <w:rFonts w:ascii="Arial" w:hAnsi="Arial"/>
          <w:caps/>
          <w:color w:val="F7941D"/>
          <w:sz w:val="36"/>
          <w:szCs w:val="36"/>
        </w:rPr>
      </w:pPr>
      <w:bookmarkStart w:id="0" w:name="_Hlk94086867"/>
      <w:bookmarkStart w:id="1" w:name="_Hlk94464818"/>
      <w:r w:rsidRPr="00DB5740">
        <w:rPr>
          <w:rFonts w:ascii="Arial" w:hAnsi="Arial"/>
          <w:caps/>
          <w:color w:val="F7941D"/>
          <w:sz w:val="36"/>
          <w:szCs w:val="36"/>
        </w:rPr>
        <w:t xml:space="preserve">Form </w:t>
      </w:r>
      <w:r w:rsidR="00613ADD">
        <w:rPr>
          <w:rFonts w:ascii="Arial" w:hAnsi="Arial"/>
          <w:caps/>
          <w:color w:val="F7941D"/>
          <w:sz w:val="36"/>
          <w:szCs w:val="36"/>
        </w:rPr>
        <w:t>10</w:t>
      </w:r>
      <w:r w:rsidR="00613ADD">
        <w:rPr>
          <w:rFonts w:ascii="Arial" w:hAnsi="Arial"/>
          <w:caps/>
          <w:color w:val="F7941D"/>
          <w:sz w:val="36"/>
          <w:szCs w:val="36"/>
        </w:rPr>
        <w:noBreakHyphen/>
        <w:t>K</w:t>
      </w:r>
      <w:r w:rsidRPr="00DB5740">
        <w:rPr>
          <w:rFonts w:ascii="Arial" w:hAnsi="Arial"/>
          <w:caps/>
          <w:color w:val="F7941D"/>
          <w:sz w:val="36"/>
          <w:szCs w:val="36"/>
        </w:rPr>
        <w:t xml:space="preserve"> </w:t>
      </w:r>
      <w:r w:rsidR="00833635" w:rsidRPr="00DB5740">
        <w:rPr>
          <w:rFonts w:ascii="Arial" w:hAnsi="Arial"/>
          <w:caps/>
          <w:color w:val="F7941D"/>
          <w:sz w:val="36"/>
          <w:szCs w:val="36"/>
        </w:rPr>
        <w:t xml:space="preserve">– </w:t>
      </w:r>
      <w:r w:rsidR="007B6AD8" w:rsidRPr="00DB5740">
        <w:rPr>
          <w:rFonts w:ascii="Arial" w:hAnsi="Arial"/>
          <w:caps/>
          <w:color w:val="F7941D"/>
          <w:sz w:val="36"/>
          <w:szCs w:val="36"/>
        </w:rPr>
        <w:t>FORM CHECK</w:t>
      </w:r>
      <w:r w:rsidRPr="00DB5740">
        <w:rPr>
          <w:rFonts w:ascii="Arial" w:hAnsi="Arial"/>
          <w:caps/>
          <w:color w:val="F7941D"/>
          <w:sz w:val="36"/>
          <w:szCs w:val="36"/>
        </w:rPr>
        <w:t xml:space="preserve"> </w:t>
      </w:r>
    </w:p>
    <w:bookmarkEnd w:id="0"/>
    <w:p w14:paraId="67EE9236" w14:textId="77777777" w:rsidR="003A4AF7" w:rsidRPr="00DF6AEE" w:rsidRDefault="0011238A" w:rsidP="00AA0403">
      <w:pPr>
        <w:pStyle w:val="BodyText"/>
        <w:spacing w:after="0"/>
        <w:ind w:left="360"/>
        <w:rPr>
          <w:rFonts w:ascii="Arial" w:hAnsi="Arial"/>
          <w:sz w:val="28"/>
          <w:szCs w:val="28"/>
        </w:rPr>
      </w:pPr>
      <w:r>
        <w:rPr>
          <w:rFonts w:ascii="Arial" w:hAnsi="Arial"/>
          <w:sz w:val="28"/>
          <w:szCs w:val="28"/>
        </w:rPr>
        <w:t xml:space="preserve">December </w:t>
      </w:r>
      <w:r w:rsidR="00C43389">
        <w:rPr>
          <w:rFonts w:ascii="Arial" w:hAnsi="Arial"/>
          <w:sz w:val="28"/>
          <w:szCs w:val="28"/>
        </w:rPr>
        <w:t>2</w:t>
      </w:r>
      <w:r w:rsidR="003D3601">
        <w:rPr>
          <w:rFonts w:ascii="Arial" w:hAnsi="Arial"/>
          <w:sz w:val="28"/>
          <w:szCs w:val="28"/>
        </w:rPr>
        <w:t>7</w:t>
      </w:r>
      <w:r w:rsidR="00E92728">
        <w:rPr>
          <w:rFonts w:ascii="Arial" w:hAnsi="Arial"/>
          <w:sz w:val="28"/>
          <w:szCs w:val="28"/>
        </w:rPr>
        <w:t>,</w:t>
      </w:r>
      <w:r w:rsidR="0053437A">
        <w:rPr>
          <w:rFonts w:ascii="Arial" w:hAnsi="Arial"/>
          <w:sz w:val="28"/>
          <w:szCs w:val="28"/>
        </w:rPr>
        <w:t xml:space="preserve"> </w:t>
      </w:r>
      <w:r w:rsidR="007B6AD8" w:rsidRPr="00DF6AEE">
        <w:rPr>
          <w:rFonts w:ascii="Arial" w:hAnsi="Arial"/>
          <w:sz w:val="28"/>
          <w:szCs w:val="28"/>
        </w:rPr>
        <w:t>2022</w:t>
      </w:r>
    </w:p>
    <w:p w14:paraId="466C177B" w14:textId="77777777" w:rsidR="007010EA" w:rsidRPr="00DB5740" w:rsidRDefault="007010EA" w:rsidP="00AA0403">
      <w:pPr>
        <w:pStyle w:val="Heading1"/>
        <w:spacing w:before="0" w:after="0"/>
        <w:ind w:left="360"/>
        <w:jc w:val="left"/>
        <w:rPr>
          <w:rFonts w:ascii="Arial" w:hAnsi="Arial"/>
          <w:sz w:val="28"/>
          <w:szCs w:val="28"/>
        </w:rPr>
      </w:pPr>
      <w:bookmarkStart w:id="2" w:name="_Hlt61149122"/>
      <w:bookmarkStart w:id="3" w:name="_Toc64868207"/>
      <w:bookmarkEnd w:id="2"/>
    </w:p>
    <w:p w14:paraId="3BCD98CF" w14:textId="77777777" w:rsidR="003A4AF7" w:rsidRPr="00DB5740" w:rsidRDefault="00E87991" w:rsidP="00AA0403">
      <w:pPr>
        <w:pStyle w:val="Heading1"/>
        <w:spacing w:before="0" w:after="0"/>
        <w:ind w:left="360"/>
        <w:jc w:val="left"/>
        <w:rPr>
          <w:rFonts w:ascii="Arial" w:hAnsi="Arial"/>
          <w:sz w:val="28"/>
          <w:szCs w:val="28"/>
        </w:rPr>
      </w:pPr>
      <w:r w:rsidRPr="00DB5740">
        <w:rPr>
          <w:rFonts w:ascii="Arial" w:hAnsi="Arial"/>
          <w:sz w:val="28"/>
          <w:szCs w:val="28"/>
        </w:rPr>
        <w:t xml:space="preserve">Form </w:t>
      </w:r>
      <w:r w:rsidR="00613ADD">
        <w:rPr>
          <w:rFonts w:ascii="Arial" w:hAnsi="Arial"/>
          <w:sz w:val="28"/>
          <w:szCs w:val="28"/>
        </w:rPr>
        <w:t>10</w:t>
      </w:r>
      <w:r w:rsidR="00613ADD">
        <w:rPr>
          <w:rFonts w:ascii="Arial" w:hAnsi="Arial"/>
          <w:sz w:val="28"/>
          <w:szCs w:val="28"/>
        </w:rPr>
        <w:noBreakHyphen/>
        <w:t>K</w:t>
      </w:r>
      <w:r w:rsidRPr="00DB5740">
        <w:rPr>
          <w:rFonts w:ascii="Arial" w:hAnsi="Arial"/>
          <w:sz w:val="28"/>
          <w:szCs w:val="28"/>
        </w:rPr>
        <w:t xml:space="preserve"> </w:t>
      </w:r>
      <w:bookmarkEnd w:id="3"/>
      <w:r w:rsidR="007B6AD8" w:rsidRPr="00DB5740">
        <w:rPr>
          <w:rFonts w:ascii="Arial" w:hAnsi="Arial"/>
          <w:sz w:val="28"/>
          <w:szCs w:val="28"/>
        </w:rPr>
        <w:t>Form Check</w:t>
      </w:r>
    </w:p>
    <w:p w14:paraId="596C0FD8" w14:textId="77777777" w:rsidR="009E167C" w:rsidRPr="00DB5740" w:rsidRDefault="009E167C" w:rsidP="009E167C">
      <w:pPr>
        <w:pStyle w:val="BodyText"/>
        <w:spacing w:after="0"/>
        <w:ind w:left="360"/>
        <w:rPr>
          <w:rFonts w:ascii="Arial" w:hAnsi="Arial"/>
          <w:sz w:val="28"/>
          <w:szCs w:val="28"/>
        </w:rPr>
      </w:pPr>
    </w:p>
    <w:p w14:paraId="21A8B8B9" w14:textId="77777777" w:rsidR="003A4AF7" w:rsidRPr="00DB5740" w:rsidRDefault="007B6AD8" w:rsidP="00AA0403">
      <w:pPr>
        <w:pStyle w:val="BodyText"/>
        <w:ind w:left="360"/>
        <w:rPr>
          <w:rFonts w:ascii="Arial" w:hAnsi="Arial"/>
          <w:iCs/>
          <w:szCs w:val="24"/>
        </w:rPr>
      </w:pPr>
      <w:r w:rsidRPr="00DB5740">
        <w:rPr>
          <w:rFonts w:ascii="Arial" w:hAnsi="Arial"/>
          <w:iCs/>
          <w:szCs w:val="24"/>
        </w:rPr>
        <w:t>This document</w:t>
      </w:r>
      <w:r w:rsidR="005B5528" w:rsidRPr="00DB5740">
        <w:rPr>
          <w:rFonts w:ascii="Arial" w:hAnsi="Arial"/>
          <w:iCs/>
          <w:szCs w:val="24"/>
        </w:rPr>
        <w:t xml:space="preserve"> has been prepared to assist </w:t>
      </w:r>
      <w:r w:rsidR="00B67DEF">
        <w:rPr>
          <w:rFonts w:ascii="Arial" w:hAnsi="Arial"/>
          <w:iCs/>
          <w:szCs w:val="24"/>
        </w:rPr>
        <w:t xml:space="preserve">with </w:t>
      </w:r>
      <w:r w:rsidRPr="00DB5740">
        <w:rPr>
          <w:rFonts w:ascii="Arial" w:hAnsi="Arial"/>
          <w:iCs/>
          <w:szCs w:val="24"/>
        </w:rPr>
        <w:t xml:space="preserve">review of Form </w:t>
      </w:r>
      <w:r w:rsidR="00613ADD">
        <w:rPr>
          <w:rFonts w:ascii="Arial" w:hAnsi="Arial"/>
          <w:iCs/>
          <w:szCs w:val="24"/>
        </w:rPr>
        <w:t>10</w:t>
      </w:r>
      <w:r w:rsidR="00613ADD">
        <w:rPr>
          <w:rFonts w:ascii="Arial" w:hAnsi="Arial"/>
          <w:iCs/>
          <w:szCs w:val="24"/>
        </w:rPr>
        <w:noBreakHyphen/>
        <w:t>K</w:t>
      </w:r>
      <w:r w:rsidRPr="00DB5740">
        <w:rPr>
          <w:rFonts w:ascii="Arial" w:hAnsi="Arial"/>
          <w:iCs/>
          <w:szCs w:val="24"/>
        </w:rPr>
        <w:t xml:space="preserve"> Annual Reports filed </w:t>
      </w:r>
      <w:r w:rsidR="00882401">
        <w:rPr>
          <w:rFonts w:ascii="Arial" w:hAnsi="Arial"/>
          <w:iCs/>
          <w:szCs w:val="24"/>
        </w:rPr>
        <w:t xml:space="preserve">with the </w:t>
      </w:r>
      <w:r w:rsidR="0034499C">
        <w:rPr>
          <w:rFonts w:ascii="Arial" w:hAnsi="Arial"/>
          <w:iCs/>
          <w:szCs w:val="24"/>
        </w:rPr>
        <w:t xml:space="preserve">Securities and Exchange Commission (SEC) </w:t>
      </w:r>
      <w:r w:rsidRPr="00DB5740">
        <w:rPr>
          <w:rFonts w:ascii="Arial" w:hAnsi="Arial"/>
          <w:iCs/>
          <w:szCs w:val="24"/>
        </w:rPr>
        <w:t xml:space="preserve">by </w:t>
      </w:r>
      <w:r w:rsidR="005B5528" w:rsidRPr="00DB5740">
        <w:rPr>
          <w:rFonts w:ascii="Arial" w:hAnsi="Arial"/>
          <w:iCs/>
          <w:szCs w:val="24"/>
        </w:rPr>
        <w:t>domestic public companies</w:t>
      </w:r>
      <w:r w:rsidR="00DB5740">
        <w:rPr>
          <w:rFonts w:ascii="Arial" w:hAnsi="Arial"/>
          <w:iCs/>
          <w:szCs w:val="24"/>
        </w:rPr>
        <w:t xml:space="preserve"> and assumes a December 31 fiscal year end</w:t>
      </w:r>
      <w:r w:rsidRPr="00DB5740">
        <w:rPr>
          <w:rFonts w:ascii="Arial" w:hAnsi="Arial"/>
          <w:iCs/>
          <w:szCs w:val="24"/>
        </w:rPr>
        <w:t>.  The discussions of SEC rules, regulations, forms and other requirements, as well as applicable guidance and interpretations, in this document are in most cases only summaries</w:t>
      </w:r>
      <w:r w:rsidR="005B5528" w:rsidRPr="00DB5740">
        <w:rPr>
          <w:rFonts w:ascii="Arial" w:hAnsi="Arial"/>
          <w:iCs/>
          <w:szCs w:val="24"/>
        </w:rPr>
        <w:t xml:space="preserve"> of the disclosure requirements of Form </w:t>
      </w:r>
      <w:r w:rsidR="00613ADD">
        <w:rPr>
          <w:rFonts w:ascii="Arial" w:hAnsi="Arial"/>
          <w:iCs/>
          <w:szCs w:val="24"/>
        </w:rPr>
        <w:t>10</w:t>
      </w:r>
      <w:r w:rsidR="00613ADD">
        <w:rPr>
          <w:rFonts w:ascii="Arial" w:hAnsi="Arial"/>
          <w:iCs/>
          <w:szCs w:val="24"/>
        </w:rPr>
        <w:noBreakHyphen/>
        <w:t>K</w:t>
      </w:r>
      <w:r w:rsidR="005B5528" w:rsidRPr="00DB5740">
        <w:rPr>
          <w:rFonts w:ascii="Arial" w:hAnsi="Arial"/>
          <w:iCs/>
          <w:szCs w:val="24"/>
        </w:rPr>
        <w:t>.</w:t>
      </w:r>
      <w:r w:rsidR="00E55F7F" w:rsidRPr="00DB5740">
        <w:rPr>
          <w:rFonts w:ascii="Arial" w:hAnsi="Arial"/>
          <w:iCs/>
          <w:szCs w:val="24"/>
        </w:rPr>
        <w:t xml:space="preserve"> </w:t>
      </w:r>
      <w:r w:rsidR="005B5528" w:rsidRPr="00DB5740">
        <w:rPr>
          <w:rFonts w:ascii="Arial" w:hAnsi="Arial"/>
          <w:iCs/>
          <w:szCs w:val="24"/>
        </w:rPr>
        <w:t xml:space="preserve">This </w:t>
      </w:r>
      <w:r w:rsidRPr="00DB5740">
        <w:rPr>
          <w:rFonts w:ascii="Arial" w:hAnsi="Arial"/>
          <w:iCs/>
          <w:szCs w:val="24"/>
        </w:rPr>
        <w:t>document</w:t>
      </w:r>
      <w:r w:rsidR="005B5528" w:rsidRPr="00DB5740">
        <w:rPr>
          <w:rFonts w:ascii="Arial" w:hAnsi="Arial"/>
          <w:iCs/>
          <w:szCs w:val="24"/>
        </w:rPr>
        <w:t xml:space="preserve"> is</w:t>
      </w:r>
      <w:r w:rsidR="005B5528" w:rsidRPr="00DB5740">
        <w:rPr>
          <w:rFonts w:ascii="Arial" w:hAnsi="Arial"/>
          <w:iCs/>
          <w:szCs w:val="24"/>
        </w:rPr>
        <w:t xml:space="preserve"> not a substitute for review of </w:t>
      </w:r>
      <w:r w:rsidRPr="00DB5740">
        <w:rPr>
          <w:rFonts w:ascii="Arial" w:hAnsi="Arial"/>
          <w:iCs/>
          <w:szCs w:val="24"/>
        </w:rPr>
        <w:t>the actual text of</w:t>
      </w:r>
      <w:r w:rsidR="005B5528" w:rsidRPr="00DB5740">
        <w:rPr>
          <w:rFonts w:ascii="Arial" w:hAnsi="Arial"/>
          <w:iCs/>
          <w:szCs w:val="24"/>
        </w:rPr>
        <w:t xml:space="preserve"> SEC rules, regulations, forms and interpretations or the advice of qualified legal </w:t>
      </w:r>
      <w:r w:rsidR="00E87991" w:rsidRPr="00DB5740">
        <w:rPr>
          <w:rFonts w:ascii="Arial" w:hAnsi="Arial"/>
          <w:iCs/>
          <w:szCs w:val="24"/>
        </w:rPr>
        <w:t xml:space="preserve">and accounting </w:t>
      </w:r>
      <w:r w:rsidR="005B5528" w:rsidRPr="00DB5740">
        <w:rPr>
          <w:rFonts w:ascii="Arial" w:hAnsi="Arial"/>
          <w:iCs/>
          <w:szCs w:val="24"/>
        </w:rPr>
        <w:t>professionals.</w:t>
      </w:r>
      <w:r w:rsidR="006776B1" w:rsidRPr="00DB5740">
        <w:rPr>
          <w:rFonts w:ascii="Arial" w:hAnsi="Arial"/>
          <w:iCs/>
          <w:szCs w:val="24"/>
        </w:rPr>
        <w:t xml:space="preserve">  </w:t>
      </w:r>
      <w:r w:rsidR="005B5528" w:rsidRPr="00DB5740">
        <w:rPr>
          <w:rFonts w:ascii="Arial" w:hAnsi="Arial"/>
          <w:iCs/>
          <w:szCs w:val="24"/>
        </w:rPr>
        <w:t xml:space="preserve">Please </w:t>
      </w:r>
      <w:r w:rsidR="003E1F54" w:rsidRPr="00DB5740">
        <w:rPr>
          <w:rFonts w:ascii="Arial" w:hAnsi="Arial"/>
          <w:iCs/>
          <w:szCs w:val="24"/>
        </w:rPr>
        <w:t xml:space="preserve">also </w:t>
      </w:r>
      <w:r w:rsidR="005B5528" w:rsidRPr="00DB5740">
        <w:rPr>
          <w:rFonts w:ascii="Arial" w:hAnsi="Arial"/>
          <w:iCs/>
          <w:szCs w:val="24"/>
        </w:rPr>
        <w:t xml:space="preserve">note </w:t>
      </w:r>
      <w:r w:rsidR="00FB7545" w:rsidRPr="00DB5740">
        <w:rPr>
          <w:rFonts w:ascii="Arial" w:hAnsi="Arial"/>
          <w:iCs/>
          <w:szCs w:val="24"/>
        </w:rPr>
        <w:t xml:space="preserve">that </w:t>
      </w:r>
      <w:r w:rsidR="005B5528" w:rsidRPr="00DB5740">
        <w:rPr>
          <w:rFonts w:ascii="Arial" w:hAnsi="Arial"/>
          <w:iCs/>
          <w:szCs w:val="24"/>
        </w:rPr>
        <w:t xml:space="preserve">foreign private issuers, asset backed issuers, registered investment </w:t>
      </w:r>
      <w:r w:rsidR="005B5528" w:rsidRPr="00DB5740">
        <w:rPr>
          <w:rFonts w:ascii="Arial" w:hAnsi="Arial"/>
          <w:iCs/>
          <w:szCs w:val="24"/>
        </w:rPr>
        <w:t>companies</w:t>
      </w:r>
      <w:bookmarkStart w:id="4" w:name="_Hlt52088040"/>
      <w:bookmarkEnd w:id="4"/>
      <w:r w:rsidR="005B5528" w:rsidRPr="00DB5740">
        <w:rPr>
          <w:rFonts w:ascii="Arial" w:hAnsi="Arial"/>
          <w:iCs/>
          <w:szCs w:val="24"/>
        </w:rPr>
        <w:t xml:space="preserve"> and </w:t>
      </w:r>
      <w:r w:rsidR="00DB5740">
        <w:rPr>
          <w:rFonts w:ascii="Arial" w:hAnsi="Arial"/>
          <w:iCs/>
          <w:szCs w:val="24"/>
        </w:rPr>
        <w:t>some other issuers</w:t>
      </w:r>
      <w:r w:rsidR="005B5528" w:rsidRPr="00DB5740">
        <w:rPr>
          <w:rFonts w:ascii="Arial" w:hAnsi="Arial"/>
          <w:iCs/>
          <w:szCs w:val="24"/>
        </w:rPr>
        <w:t xml:space="preserve"> are subject to requirements that in some cases differ significantly from those o</w:t>
      </w:r>
      <w:r w:rsidR="003E1F54" w:rsidRPr="00DB5740">
        <w:rPr>
          <w:rFonts w:ascii="Arial" w:hAnsi="Arial"/>
          <w:iCs/>
          <w:szCs w:val="24"/>
        </w:rPr>
        <w:t>n which these tables are based.</w:t>
      </w:r>
    </w:p>
    <w:p w14:paraId="60C35038" w14:textId="77777777" w:rsidR="003A4AF7" w:rsidRPr="00DB5740" w:rsidRDefault="00724614" w:rsidP="00AA0403">
      <w:pPr>
        <w:pStyle w:val="BodyText"/>
        <w:ind w:left="360"/>
        <w:rPr>
          <w:rFonts w:ascii="Arial" w:hAnsi="Arial"/>
          <w:szCs w:val="24"/>
        </w:rPr>
      </w:pPr>
      <w:r w:rsidRPr="00DB5740">
        <w:rPr>
          <w:rFonts w:ascii="Arial" w:hAnsi="Arial"/>
          <w:szCs w:val="24"/>
        </w:rPr>
        <w:t>Key changes in the requirements for</w:t>
      </w:r>
      <w:r w:rsidR="005B5528" w:rsidRPr="00DB5740">
        <w:rPr>
          <w:rFonts w:ascii="Arial" w:hAnsi="Arial"/>
          <w:szCs w:val="24"/>
        </w:rPr>
        <w:t xml:space="preserve"> Form </w:t>
      </w:r>
      <w:r w:rsidR="00613ADD">
        <w:rPr>
          <w:rFonts w:ascii="Arial" w:hAnsi="Arial"/>
          <w:szCs w:val="24"/>
        </w:rPr>
        <w:t>10</w:t>
      </w:r>
      <w:r w:rsidR="00613ADD">
        <w:rPr>
          <w:rFonts w:ascii="Arial" w:hAnsi="Arial"/>
          <w:szCs w:val="24"/>
        </w:rPr>
        <w:noBreakHyphen/>
        <w:t>K</w:t>
      </w:r>
      <w:r w:rsidR="005B5528" w:rsidRPr="00DB5740">
        <w:rPr>
          <w:rFonts w:ascii="Arial" w:hAnsi="Arial"/>
          <w:szCs w:val="24"/>
        </w:rPr>
        <w:t xml:space="preserve"> reports that have changed since the preceding year for companies </w:t>
      </w:r>
      <w:r w:rsidR="005B5528" w:rsidRPr="00DB5740">
        <w:rPr>
          <w:rFonts w:ascii="Arial" w:hAnsi="Arial"/>
          <w:szCs w:val="24"/>
        </w:rPr>
        <w:t xml:space="preserve">with calendar year ends are </w:t>
      </w:r>
      <w:r w:rsidR="001F13BD" w:rsidRPr="00DB5740">
        <w:rPr>
          <w:rFonts w:ascii="Arial" w:hAnsi="Arial"/>
          <w:szCs w:val="24"/>
        </w:rPr>
        <w:t>summarized on the following page</w:t>
      </w:r>
      <w:r w:rsidR="005B5528" w:rsidRPr="00DB5740">
        <w:rPr>
          <w:rFonts w:ascii="Arial" w:hAnsi="Arial"/>
          <w:szCs w:val="24"/>
        </w:rPr>
        <w:t>.</w:t>
      </w:r>
    </w:p>
    <w:p w14:paraId="3FE96B55" w14:textId="77777777" w:rsidR="00AD6E56" w:rsidRPr="00361766" w:rsidRDefault="003A4AF7" w:rsidP="00361766">
      <w:pPr>
        <w:pStyle w:val="BodyText"/>
        <w:ind w:left="360"/>
        <w:rPr>
          <w:rFonts w:ascii="Arial" w:hAnsi="Arial"/>
          <w:i/>
          <w:szCs w:val="24"/>
        </w:rPr>
        <w:sectPr w:rsidR="00AD6E56" w:rsidRPr="00361766" w:rsidSect="00C77EAB">
          <w:headerReference w:type="default" r:id="rId7"/>
          <w:footerReference w:type="even" r:id="rId8"/>
          <w:footerReference w:type="default" r:id="rId9"/>
          <w:headerReference w:type="first" r:id="rId10"/>
          <w:footerReference w:type="first" r:id="rId11"/>
          <w:pgSz w:w="15840" w:h="12240" w:orient="landscape" w:code="1"/>
          <w:pgMar w:top="720" w:right="720" w:bottom="360" w:left="720" w:header="720" w:footer="720" w:gutter="0"/>
          <w:pgNumType w:start="1"/>
          <w:cols w:space="720"/>
          <w:noEndnote/>
          <w:titlePg/>
          <w:docGrid w:linePitch="326"/>
        </w:sectPr>
      </w:pPr>
      <w:r w:rsidRPr="00DB5740">
        <w:rPr>
          <w:rFonts w:ascii="Arial" w:hAnsi="Arial"/>
          <w:b/>
          <w:szCs w:val="24"/>
        </w:rPr>
        <w:t>If you have received a copy of this document in Adobe Acrobat</w:t>
      </w:r>
      <w:r w:rsidRPr="00DB5740">
        <w:rPr>
          <w:rFonts w:ascii="Symbol" w:hAnsi="Symbol"/>
          <w:b/>
          <w:szCs w:val="24"/>
          <w:vertAlign w:val="superscript"/>
        </w:rPr>
        <w:sym w:font="Symbol" w:char="F0D2"/>
      </w:r>
      <w:r w:rsidRPr="00DB5740">
        <w:rPr>
          <w:rFonts w:ascii="Arial" w:hAnsi="Arial"/>
          <w:b/>
          <w:szCs w:val="24"/>
          <w:vertAlign w:val="superscript"/>
        </w:rPr>
        <w:t xml:space="preserve"> </w:t>
      </w:r>
      <w:r w:rsidRPr="00DB5740">
        <w:rPr>
          <w:rFonts w:ascii="Arial" w:hAnsi="Arial"/>
          <w:b/>
          <w:szCs w:val="24"/>
        </w:rPr>
        <w:t>format and would like an editable copy in Microsoft Word</w:t>
      </w:r>
      <w:r w:rsidRPr="00DB5740">
        <w:rPr>
          <w:rFonts w:ascii="Symbol" w:hAnsi="Symbol"/>
          <w:b/>
          <w:szCs w:val="24"/>
          <w:vertAlign w:val="superscript"/>
        </w:rPr>
        <w:sym w:font="Symbol" w:char="F0D2"/>
      </w:r>
      <w:r w:rsidRPr="00DB5740">
        <w:rPr>
          <w:rFonts w:ascii="Arial" w:hAnsi="Arial"/>
          <w:b/>
          <w:szCs w:val="24"/>
        </w:rPr>
        <w:t xml:space="preserve"> format, please contact your regular Goodwin Procter attorney.</w:t>
      </w:r>
      <w:r w:rsidR="006776B1" w:rsidRPr="00DB5740">
        <w:rPr>
          <w:rFonts w:ascii="Arial" w:hAnsi="Arial"/>
          <w:b/>
          <w:szCs w:val="24"/>
        </w:rPr>
        <w:t xml:space="preserve">  </w:t>
      </w:r>
      <w:r w:rsidRPr="00DB5740">
        <w:rPr>
          <w:rFonts w:ascii="Arial" w:hAnsi="Arial"/>
          <w:i/>
          <w:szCs w:val="24"/>
        </w:rPr>
        <w:t>This document is provided with the understanding that it does not constitute the rendering of legal advice or other professional advice by Goodwin Procter LLP or its attorneys.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000" w:firstRow="0" w:lastRow="0" w:firstColumn="0" w:lastColumn="0" w:noHBand="0" w:noVBand="0"/>
      </w:tblPr>
      <w:tblGrid>
        <w:gridCol w:w="2002"/>
        <w:gridCol w:w="1707"/>
        <w:gridCol w:w="5575"/>
        <w:gridCol w:w="2704"/>
        <w:gridCol w:w="1710"/>
        <w:gridCol w:w="892"/>
        <w:gridCol w:w="26"/>
      </w:tblGrid>
      <w:tr w:rsidR="00000000" w14:paraId="5539A65F" w14:textId="77777777" w:rsidTr="00BF4090">
        <w:trPr>
          <w:cantSplit/>
          <w:tblHeader/>
          <w:jc w:val="center"/>
        </w:trPr>
        <w:tc>
          <w:tcPr>
            <w:tcW w:w="685" w:type="pct"/>
            <w:tcBorders>
              <w:bottom w:val="single" w:sz="24" w:space="0" w:color="auto"/>
            </w:tcBorders>
            <w:shd w:val="clear" w:color="auto" w:fill="BFBFBF"/>
            <w:vAlign w:val="center"/>
          </w:tcPr>
          <w:p w14:paraId="78C7606F" w14:textId="77777777" w:rsidR="00E35AF4" w:rsidRPr="007B1484" w:rsidRDefault="005B5528" w:rsidP="00E35AF4">
            <w:pPr>
              <w:autoSpaceDE w:val="0"/>
              <w:autoSpaceDN w:val="0"/>
              <w:adjustRightInd w:val="0"/>
              <w:jc w:val="center"/>
              <w:rPr>
                <w:b/>
                <w:bCs/>
                <w:caps/>
              </w:rPr>
            </w:pPr>
            <w:r w:rsidRPr="007B1484">
              <w:rPr>
                <w:b/>
                <w:bCs/>
              </w:rPr>
              <w:lastRenderedPageBreak/>
              <w:t xml:space="preserve">Form </w:t>
            </w:r>
            <w:r w:rsidR="00613ADD">
              <w:rPr>
                <w:b/>
                <w:bCs/>
              </w:rPr>
              <w:t>10</w:t>
            </w:r>
            <w:r w:rsidR="00613ADD">
              <w:rPr>
                <w:b/>
                <w:bCs/>
              </w:rPr>
              <w:noBreakHyphen/>
              <w:t>K</w:t>
            </w:r>
            <w:r w:rsidRPr="007B1484">
              <w:rPr>
                <w:b/>
                <w:bCs/>
              </w:rPr>
              <w:t xml:space="preserve"> Section</w:t>
            </w:r>
          </w:p>
        </w:tc>
        <w:tc>
          <w:tcPr>
            <w:tcW w:w="584" w:type="pct"/>
            <w:tcBorders>
              <w:bottom w:val="single" w:sz="24" w:space="0" w:color="auto"/>
            </w:tcBorders>
            <w:shd w:val="clear" w:color="auto" w:fill="BFBFBF"/>
            <w:vAlign w:val="center"/>
          </w:tcPr>
          <w:p w14:paraId="13CB8A3F" w14:textId="77777777" w:rsidR="00E35AF4" w:rsidRPr="007B1484" w:rsidRDefault="005B5528" w:rsidP="00E35AF4">
            <w:pPr>
              <w:autoSpaceDE w:val="0"/>
              <w:autoSpaceDN w:val="0"/>
              <w:adjustRightInd w:val="0"/>
              <w:jc w:val="center"/>
              <w:rPr>
                <w:b/>
                <w:bCs/>
                <w:caps/>
              </w:rPr>
            </w:pPr>
            <w:r w:rsidRPr="007B1484">
              <w:rPr>
                <w:b/>
                <w:bCs/>
              </w:rPr>
              <w:t>Regulation S-K or Other Reference</w:t>
            </w:r>
          </w:p>
        </w:tc>
        <w:tc>
          <w:tcPr>
            <w:tcW w:w="1907" w:type="pct"/>
            <w:tcBorders>
              <w:bottom w:val="single" w:sz="24" w:space="0" w:color="auto"/>
            </w:tcBorders>
            <w:shd w:val="clear" w:color="auto" w:fill="BFBFBF"/>
            <w:vAlign w:val="center"/>
          </w:tcPr>
          <w:p w14:paraId="0283598C" w14:textId="77777777" w:rsidR="00E35AF4" w:rsidRPr="007B1484" w:rsidRDefault="005B5528" w:rsidP="00E35AF4">
            <w:pPr>
              <w:autoSpaceDE w:val="0"/>
              <w:autoSpaceDN w:val="0"/>
              <w:adjustRightInd w:val="0"/>
              <w:jc w:val="center"/>
              <w:rPr>
                <w:b/>
                <w:bCs/>
                <w:caps/>
              </w:rPr>
            </w:pPr>
            <w:r w:rsidRPr="007B1484">
              <w:rPr>
                <w:b/>
                <w:bCs/>
              </w:rPr>
              <w:t>Summary of Requirement</w:t>
            </w:r>
          </w:p>
        </w:tc>
        <w:tc>
          <w:tcPr>
            <w:tcW w:w="925" w:type="pct"/>
            <w:tcBorders>
              <w:bottom w:val="single" w:sz="24" w:space="0" w:color="auto"/>
            </w:tcBorders>
            <w:shd w:val="clear" w:color="auto" w:fill="BFBFBF"/>
            <w:vAlign w:val="center"/>
          </w:tcPr>
          <w:p w14:paraId="040F0E5B" w14:textId="77777777" w:rsidR="00E35AF4" w:rsidRPr="007B1484" w:rsidRDefault="005B5528" w:rsidP="00E35AF4">
            <w:pPr>
              <w:autoSpaceDE w:val="0"/>
              <w:autoSpaceDN w:val="0"/>
              <w:adjustRightInd w:val="0"/>
              <w:jc w:val="center"/>
              <w:rPr>
                <w:b/>
                <w:bCs/>
                <w:caps/>
              </w:rPr>
            </w:pPr>
            <w:r w:rsidRPr="007B1484">
              <w:rPr>
                <w:b/>
                <w:bCs/>
              </w:rPr>
              <w:t>Relevant Guida</w:t>
            </w:r>
            <w:r w:rsidRPr="007B1484">
              <w:rPr>
                <w:b/>
                <w:bCs/>
              </w:rPr>
              <w:t>nce</w:t>
            </w:r>
          </w:p>
        </w:tc>
        <w:tc>
          <w:tcPr>
            <w:tcW w:w="585" w:type="pct"/>
            <w:tcBorders>
              <w:bottom w:val="single" w:sz="24" w:space="0" w:color="auto"/>
            </w:tcBorders>
            <w:shd w:val="clear" w:color="auto" w:fill="BFBFBF"/>
            <w:vAlign w:val="center"/>
          </w:tcPr>
          <w:p w14:paraId="50A658E8" w14:textId="77777777" w:rsidR="00E35AF4" w:rsidRPr="007B1484" w:rsidRDefault="005B5528" w:rsidP="00E35AF4">
            <w:pPr>
              <w:autoSpaceDE w:val="0"/>
              <w:autoSpaceDN w:val="0"/>
              <w:adjustRightInd w:val="0"/>
              <w:jc w:val="center"/>
              <w:rPr>
                <w:b/>
                <w:bCs/>
                <w:caps/>
              </w:rPr>
            </w:pPr>
            <w:r w:rsidRPr="007B1484">
              <w:rPr>
                <w:b/>
                <w:bCs/>
              </w:rPr>
              <w:t>Reviewer Notes and Comments</w:t>
            </w:r>
          </w:p>
        </w:tc>
        <w:tc>
          <w:tcPr>
            <w:tcW w:w="314" w:type="pct"/>
            <w:gridSpan w:val="2"/>
            <w:tcBorders>
              <w:bottom w:val="single" w:sz="24" w:space="0" w:color="auto"/>
            </w:tcBorders>
            <w:shd w:val="clear" w:color="auto" w:fill="BFBFBF"/>
            <w:vAlign w:val="center"/>
          </w:tcPr>
          <w:p w14:paraId="18AD8E52" w14:textId="77777777" w:rsidR="00E35AF4" w:rsidRPr="007B1484" w:rsidRDefault="005B5528" w:rsidP="00E35AF4">
            <w:pPr>
              <w:autoSpaceDE w:val="0"/>
              <w:autoSpaceDN w:val="0"/>
              <w:adjustRightInd w:val="0"/>
              <w:jc w:val="center"/>
              <w:rPr>
                <w:b/>
                <w:bCs/>
                <w:caps/>
                <w:sz w:val="16"/>
                <w:szCs w:val="16"/>
              </w:rPr>
            </w:pPr>
            <w:r w:rsidRPr="007B1484">
              <w:rPr>
                <w:b/>
                <w:bCs/>
                <w:sz w:val="16"/>
                <w:szCs w:val="16"/>
              </w:rPr>
              <w:t>Review Status: Complies?</w:t>
            </w:r>
            <w:r w:rsidR="006776B1">
              <w:rPr>
                <w:b/>
                <w:bCs/>
                <w:sz w:val="16"/>
                <w:szCs w:val="16"/>
              </w:rPr>
              <w:t xml:space="preserve">  </w:t>
            </w:r>
            <w:r w:rsidRPr="007B1484">
              <w:rPr>
                <w:b/>
                <w:bCs/>
                <w:sz w:val="16"/>
                <w:szCs w:val="16"/>
              </w:rPr>
              <w:t>Yes/No</w:t>
            </w:r>
          </w:p>
        </w:tc>
      </w:tr>
      <w:tr w:rsidR="00000000" w14:paraId="5E77097D" w14:textId="77777777" w:rsidTr="0079703E">
        <w:trPr>
          <w:cantSplit/>
          <w:jc w:val="center"/>
        </w:trPr>
        <w:tc>
          <w:tcPr>
            <w:tcW w:w="5000" w:type="pct"/>
            <w:gridSpan w:val="7"/>
            <w:tcBorders>
              <w:bottom w:val="single" w:sz="4" w:space="0" w:color="auto"/>
            </w:tcBorders>
            <w:shd w:val="clear" w:color="auto" w:fill="auto"/>
          </w:tcPr>
          <w:p w14:paraId="1FB06866" w14:textId="77777777" w:rsidR="00C03686" w:rsidRPr="00C03686" w:rsidRDefault="005B5528" w:rsidP="00C03686">
            <w:pPr>
              <w:pStyle w:val="Heading1"/>
              <w:keepNext w:val="0"/>
              <w:spacing w:before="0" w:after="120"/>
              <w:jc w:val="left"/>
              <w:rPr>
                <w:b w:val="0"/>
                <w:bCs/>
                <w:sz w:val="24"/>
                <w:szCs w:val="24"/>
                <w:u w:val="none"/>
              </w:rPr>
            </w:pPr>
            <w:r w:rsidRPr="00C03686">
              <w:rPr>
                <w:sz w:val="24"/>
                <w:szCs w:val="24"/>
                <w:u w:val="none"/>
              </w:rPr>
              <w:t>New Electronic Filing Requirement Applies to “Glossy” Annual Reports to Shareholders, including Form 10-K “Wraps,” Effective January 11, 2023</w:t>
            </w:r>
          </w:p>
          <w:p w14:paraId="4DA1DB62" w14:textId="77777777" w:rsidR="00C03686" w:rsidRDefault="005B5528" w:rsidP="00C03686">
            <w:pPr>
              <w:pStyle w:val="Heading1"/>
              <w:keepNext w:val="0"/>
              <w:spacing w:before="0" w:after="120"/>
              <w:jc w:val="left"/>
              <w:rPr>
                <w:b w:val="0"/>
                <w:u w:val="none"/>
              </w:rPr>
            </w:pPr>
            <w:r>
              <w:rPr>
                <w:b w:val="0"/>
                <w:u w:val="none"/>
              </w:rPr>
              <w:t xml:space="preserve">In June 2022, the SEC adopted </w:t>
            </w:r>
            <w:hyperlink r:id="rId12" w:history="1">
              <w:r w:rsidRPr="002E1AD2">
                <w:rPr>
                  <w:rStyle w:val="Hyperlink"/>
                  <w:b w:val="0"/>
                </w:rPr>
                <w:t xml:space="preserve">amendments </w:t>
              </w:r>
            </w:hyperlink>
            <w:r>
              <w:rPr>
                <w:b w:val="0"/>
                <w:u w:val="none"/>
              </w:rPr>
              <w:t>that require electronic filing of a variety of documents that SEC rules previously permitted to be filed or submitted in paper form.</w:t>
            </w:r>
            <w:r w:rsidR="00DC286E">
              <w:rPr>
                <w:b w:val="0"/>
                <w:u w:val="none"/>
              </w:rPr>
              <w:t xml:space="preserve">  </w:t>
            </w:r>
            <w:r>
              <w:rPr>
                <w:b w:val="0"/>
                <w:u w:val="none"/>
              </w:rPr>
              <w:t>Among the documents affected by the amendments were “glossy” a</w:t>
            </w:r>
            <w:r>
              <w:rPr>
                <w:b w:val="0"/>
                <w:u w:val="none"/>
              </w:rPr>
              <w:t>nnual reports to shareholders that must accompany or precede the proxy materials under Rule 14a-3(c). This includes Form 10-K “wraps” that include the information required in connection with the company’s proxy solicitation under Rule 14a-3(b), such as the</w:t>
            </w:r>
            <w:r>
              <w:rPr>
                <w:b w:val="0"/>
                <w:u w:val="none"/>
              </w:rPr>
              <w:t xml:space="preserve"> stock performance graph required by Rule 14a-3(b)(9), unless all such information was contained in the Form 10-K at the time of filing.</w:t>
            </w:r>
            <w:r w:rsidR="00DC286E">
              <w:rPr>
                <w:b w:val="0"/>
                <w:u w:val="none"/>
              </w:rPr>
              <w:t xml:space="preserve">  </w:t>
            </w:r>
            <w:r>
              <w:rPr>
                <w:b w:val="0"/>
                <w:u w:val="none"/>
              </w:rPr>
              <w:t>Effective January 11, 2023, SEC rules will no longer permit companies to satisfy the requirement to submit these annua</w:t>
            </w:r>
            <w:r>
              <w:rPr>
                <w:b w:val="0"/>
                <w:u w:val="none"/>
              </w:rPr>
              <w:t>l reports to the SEC staff in paper form, and will require companies to submit annual reports to the SEC electronically.</w:t>
            </w:r>
            <w:r w:rsidR="00DC286E">
              <w:rPr>
                <w:b w:val="0"/>
                <w:u w:val="none"/>
              </w:rPr>
              <w:t xml:space="preserve">  </w:t>
            </w:r>
            <w:r>
              <w:rPr>
                <w:b w:val="0"/>
                <w:u w:val="none"/>
              </w:rPr>
              <w:t>The only current electronic format accepted by the SEC’s EDGAR system is Adobe Acrobat (pdf).</w:t>
            </w:r>
            <w:r w:rsidR="00DC286E">
              <w:rPr>
                <w:b w:val="0"/>
                <w:u w:val="none"/>
              </w:rPr>
              <w:t xml:space="preserve">  </w:t>
            </w:r>
            <w:r>
              <w:rPr>
                <w:b w:val="0"/>
                <w:u w:val="none"/>
              </w:rPr>
              <w:t>Most companies already prepare a copy o</w:t>
            </w:r>
            <w:r>
              <w:rPr>
                <w:b w:val="0"/>
                <w:u w:val="none"/>
              </w:rPr>
              <w:t>f the annual report in Acrobat format, but those that do not should confirm that they will be able to do so.</w:t>
            </w:r>
            <w:r w:rsidR="00DC286E">
              <w:rPr>
                <w:b w:val="0"/>
                <w:u w:val="none"/>
              </w:rPr>
              <w:t xml:space="preserve">  </w:t>
            </w:r>
            <w:r>
              <w:rPr>
                <w:b w:val="0"/>
                <w:u w:val="none"/>
              </w:rPr>
              <w:t xml:space="preserve">On the effective date of the amendments, the </w:t>
            </w:r>
            <w:hyperlink r:id="rId13" w:history="1">
              <w:r w:rsidRPr="000E49B1">
                <w:rPr>
                  <w:rStyle w:val="Hyperlink"/>
                  <w:b w:val="0"/>
                </w:rPr>
                <w:t xml:space="preserve">staff </w:t>
              </w:r>
              <w:r w:rsidRPr="000E49B1">
                <w:rPr>
                  <w:rStyle w:val="Hyperlink"/>
                  <w:b w:val="0"/>
                </w:rPr>
                <w:t>position</w:t>
              </w:r>
            </w:hyperlink>
            <w:r>
              <w:rPr>
                <w:b w:val="0"/>
                <w:u w:val="none"/>
              </w:rPr>
              <w:t xml:space="preserve"> that permits a company to satisfy this requirement by posting an electronic copy of the annual report on the company’s website will be withdrawn.  </w:t>
            </w:r>
          </w:p>
          <w:p w14:paraId="556A1FA2" w14:textId="77777777" w:rsidR="00C03686" w:rsidRDefault="005B5528" w:rsidP="00C03686">
            <w:pPr>
              <w:pStyle w:val="BodyText"/>
              <w:spacing w:after="120"/>
            </w:pPr>
            <w:r>
              <w:t>The amended SEC rules apply to annual reports, including “glossy” annual reports and Form 10-K “wr</w:t>
            </w:r>
            <w:r>
              <w:t>aps” that contain information that is used with proxy materials to satisfy the Rule 14a-3(b) requirement that proxy materials must be accompanied or preceded by an annual report to shareholders for solicitations made on behalf of the company that relate to</w:t>
            </w:r>
            <w:r>
              <w:t xml:space="preserve"> an annual meeting (or special meeting in lieu of an annual meeting, or a written consent in lieu of such a meeting) at which directors are to be elected.</w:t>
            </w:r>
          </w:p>
          <w:p w14:paraId="634C6C4E" w14:textId="77777777" w:rsidR="00C03686" w:rsidRDefault="005B5528" w:rsidP="00C03686">
            <w:pPr>
              <w:pStyle w:val="BodyText"/>
              <w:spacing w:after="120"/>
            </w:pPr>
            <w:r>
              <w:t>As a result of the amendments, effective January 11, 2023:</w:t>
            </w:r>
          </w:p>
          <w:p w14:paraId="05E3E01B" w14:textId="77777777" w:rsidR="00C03686" w:rsidRDefault="005B5528" w:rsidP="00C03686">
            <w:pPr>
              <w:pStyle w:val="BodyText"/>
              <w:numPr>
                <w:ilvl w:val="0"/>
                <w:numId w:val="41"/>
              </w:numPr>
              <w:spacing w:after="120"/>
            </w:pPr>
            <w:r>
              <w:t>The option to submit a paper copy of the “</w:t>
            </w:r>
            <w:r>
              <w:t>glossy” annual report or Form 10-K “wrap” to the SEC has been eliminated;</w:t>
            </w:r>
          </w:p>
          <w:p w14:paraId="12191147" w14:textId="77777777" w:rsidR="00C03686" w:rsidRDefault="005B5528" w:rsidP="00C03686">
            <w:pPr>
              <w:pStyle w:val="BodyText"/>
              <w:numPr>
                <w:ilvl w:val="0"/>
                <w:numId w:val="41"/>
              </w:numPr>
              <w:spacing w:after="120"/>
            </w:pPr>
            <w:r>
              <w:t>The requirement to submit an electronic copy of the “glossy” annual report or Form 10-K “wrap”  to the SEC in electronic format applies without regard to whether or not a company pos</w:t>
            </w:r>
            <w:r>
              <w:t xml:space="preserve">ts its annual report on its corporate website; </w:t>
            </w:r>
          </w:p>
          <w:p w14:paraId="66B87D60" w14:textId="77777777" w:rsidR="00C03686" w:rsidRDefault="005B5528" w:rsidP="00C03686">
            <w:pPr>
              <w:pStyle w:val="BodyText"/>
              <w:numPr>
                <w:ilvl w:val="0"/>
                <w:numId w:val="41"/>
              </w:numPr>
              <w:spacing w:after="120"/>
            </w:pPr>
            <w:r>
              <w:t>SEC proxy rules will continue to require companies to publish the annual report on a website other than the SEC’s EDGAR website;</w:t>
            </w:r>
          </w:p>
          <w:p w14:paraId="4EAEA8A3" w14:textId="77777777" w:rsidR="00C03686" w:rsidRDefault="005B5528" w:rsidP="00C03686">
            <w:pPr>
              <w:pStyle w:val="BodyText"/>
              <w:numPr>
                <w:ilvl w:val="0"/>
                <w:numId w:val="41"/>
              </w:numPr>
              <w:spacing w:after="120"/>
            </w:pPr>
            <w:r>
              <w:t>The only electronic format that the SEC’s EDGAR system currently supports for t</w:t>
            </w:r>
            <w:r>
              <w:t>his submission is Adobe Acrobat (pdf) format; and</w:t>
            </w:r>
          </w:p>
          <w:p w14:paraId="1D884A1C" w14:textId="77777777" w:rsidR="00C03686" w:rsidRDefault="005B5528" w:rsidP="00C03686">
            <w:pPr>
              <w:pStyle w:val="BodyText"/>
              <w:numPr>
                <w:ilvl w:val="0"/>
                <w:numId w:val="41"/>
              </w:numPr>
              <w:spacing w:after="120"/>
            </w:pPr>
            <w:r>
              <w:t>The electronic version of the annual report should not be reformatted, re-sized, or otherwise redesigned for purposes of electronic submission on the SEC’s EDGAR system.</w:t>
            </w:r>
          </w:p>
          <w:p w14:paraId="108FE64C" w14:textId="77777777" w:rsidR="00C03686" w:rsidRDefault="005B5528" w:rsidP="00C03686">
            <w:pPr>
              <w:autoSpaceDE w:val="0"/>
              <w:autoSpaceDN w:val="0"/>
              <w:adjustRightInd w:val="0"/>
              <w:spacing w:after="240"/>
            </w:pPr>
            <w:r>
              <w:rPr>
                <w:b/>
                <w:bCs/>
              </w:rPr>
              <w:t>Deadline for Submission of Annual Re</w:t>
            </w:r>
            <w:r>
              <w:rPr>
                <w:b/>
                <w:bCs/>
              </w:rPr>
              <w:t xml:space="preserve">port to Shareholders: </w:t>
            </w:r>
            <w:r>
              <w:t>Rule 14a-3(c) requires companies to submit the annual report not later than the later of (1) the date on which the annual report is first sent or given to shareholders or (2) the date on which the company files preliminary proxy mater</w:t>
            </w:r>
            <w:r>
              <w:t>ials, or definitive proxy materials if filing of preliminary proxy materials was not required, pursuant to Rule 14a-6.</w:t>
            </w:r>
          </w:p>
          <w:p w14:paraId="7B82A814" w14:textId="77777777" w:rsidR="00826DEF" w:rsidRPr="00826DEF" w:rsidRDefault="005B5528" w:rsidP="00C03686">
            <w:pPr>
              <w:autoSpaceDE w:val="0"/>
              <w:autoSpaceDN w:val="0"/>
              <w:adjustRightInd w:val="0"/>
              <w:spacing w:after="240"/>
              <w:rPr>
                <w:iCs/>
                <w:smallCaps/>
                <w:color w:val="000000"/>
                <w:sz w:val="26"/>
                <w:szCs w:val="26"/>
                <w:u w:val="single"/>
              </w:rPr>
            </w:pPr>
            <w:r>
              <w:rPr>
                <w:b/>
                <w:bCs/>
              </w:rPr>
              <w:t>Additional Information:</w:t>
            </w:r>
            <w:r>
              <w:t xml:space="preserve"> For additional information about these amendments, refer to the Goodwin client alert </w:t>
            </w:r>
            <w:hyperlink r:id="rId14" w:history="1">
              <w:r w:rsidRPr="00826DEF">
                <w:rPr>
                  <w:rStyle w:val="Hyperlink"/>
                </w:rPr>
                <w:t>SEC Adopts New Electronic Filing Requirements for “Glossy” Annual Reports, Form 144 Notices and Other Documents</w:t>
              </w:r>
            </w:hyperlink>
            <w:r w:rsidR="00AC4C5E">
              <w:t>.</w:t>
            </w:r>
          </w:p>
        </w:tc>
      </w:tr>
      <w:tr w:rsidR="00000000" w14:paraId="76A79C2E" w14:textId="77777777" w:rsidTr="006D5F83">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auto"/>
          </w:tcPr>
          <w:p w14:paraId="17B3F4ED" w14:textId="77777777" w:rsidR="00FD5EAC" w:rsidRPr="00FD5EAC" w:rsidRDefault="005B5528" w:rsidP="00FD5EAC">
            <w:pPr>
              <w:pStyle w:val="Heading1"/>
              <w:keepNext w:val="0"/>
              <w:spacing w:before="0" w:after="120"/>
              <w:jc w:val="left"/>
              <w:rPr>
                <w:sz w:val="24"/>
                <w:szCs w:val="24"/>
                <w:u w:val="none"/>
              </w:rPr>
            </w:pPr>
            <w:r w:rsidRPr="00FD5EAC">
              <w:rPr>
                <w:sz w:val="24"/>
                <w:szCs w:val="24"/>
                <w:u w:val="none"/>
              </w:rPr>
              <w:lastRenderedPageBreak/>
              <w:t>New and Revised Compliance and Disclosure Interp</w:t>
            </w:r>
            <w:r w:rsidRPr="00FD5EAC">
              <w:rPr>
                <w:sz w:val="24"/>
                <w:szCs w:val="24"/>
                <w:u w:val="none"/>
              </w:rPr>
              <w:t>retations on Non-GAAP Financial Measure</w:t>
            </w:r>
            <w:r>
              <w:rPr>
                <w:sz w:val="24"/>
                <w:szCs w:val="24"/>
                <w:u w:val="none"/>
              </w:rPr>
              <w:t>s</w:t>
            </w:r>
          </w:p>
          <w:p w14:paraId="6DC7ECE1" w14:textId="77777777" w:rsidR="00FD5EAC" w:rsidRPr="00FD5EAC" w:rsidRDefault="00771086" w:rsidP="00771086">
            <w:pPr>
              <w:pStyle w:val="BodyText"/>
            </w:pPr>
            <w:r w:rsidRPr="00F87332">
              <w:rPr>
                <w:rFonts w:cs="Calibri"/>
              </w:rPr>
              <w:t xml:space="preserve">On December 13, 2022, the staff of the SEC Division of Corporation Finance (staff) published seven new or revised </w:t>
            </w:r>
            <w:hyperlink r:id="rId15" w:history="1">
              <w:r w:rsidRPr="00F87332">
                <w:rPr>
                  <w:rStyle w:val="Hyperlink"/>
                  <w:rFonts w:cs="Calibri"/>
                </w:rPr>
                <w:t>Compliance and Disclosure Interpretations</w:t>
              </w:r>
            </w:hyperlink>
            <w:r w:rsidRPr="00F87332">
              <w:rPr>
                <w:rFonts w:cs="Calibri"/>
              </w:rPr>
              <w:t xml:space="preserve"> (C&amp;DIs) stating the views of the staff on several disclosure issues involving non-GAAP financial measures.  </w:t>
            </w:r>
            <w:r w:rsidR="005B5528" w:rsidRPr="00F87332">
              <w:rPr>
                <w:rFonts w:cs="Calibri"/>
              </w:rPr>
              <w:t>Alth</w:t>
            </w:r>
            <w:r w:rsidR="005B5528" w:rsidRPr="00F87332">
              <w:t>ough many of these C&amp;DIs clarify prior interpretive positions taken by the staff, these C&amp;DIs include a variety of specific exampl</w:t>
            </w:r>
            <w:r w:rsidR="005B5528" w:rsidRPr="00F87332">
              <w:t>es of disclosure that the staff views as potential or actual violations of applicable SEC rules, and some of these examples involve disclosures that some companies have been including in earnings releases and SEC filings in the absence of specific staff in</w:t>
            </w:r>
            <w:r w:rsidR="005B5528" w:rsidRPr="00F87332">
              <w:t>terpretive guidance.</w:t>
            </w:r>
          </w:p>
          <w:p w14:paraId="29D76A34" w14:textId="77777777" w:rsidR="00771086" w:rsidRDefault="005B5528" w:rsidP="00771086">
            <w:pPr>
              <w:pStyle w:val="BodyText"/>
            </w:pPr>
            <w:r w:rsidRPr="00771086">
              <w:t>The timing is significant.  The publication of these C&amp;DIs in December 2022, with fourth quarter and full-year 2022 earnings releases and Form 10-K annual reports approaching for companies with December 31 fiscal year ends, is likely a</w:t>
            </w:r>
            <w:r w:rsidRPr="00771086">
              <w:t>n indication that the staff will be reviewing non-GAAP financial measures in both earnings releases and periodic reports to evaluate whether disclosure of non-GAAP financial measures is consistent with the interpretive positions stated in these C&amp;DIs.  Com</w:t>
            </w:r>
            <w:r w:rsidRPr="00771086">
              <w:t>panies should review these C&amp;DIs and consider the potential impact of these C&amp;DIs on their upcoming earnings releases and Form 10-K annual reports.</w:t>
            </w:r>
          </w:p>
          <w:p w14:paraId="4812071C" w14:textId="77777777" w:rsidR="00FD5EAC" w:rsidRPr="00771086" w:rsidRDefault="005B5528" w:rsidP="00771086">
            <w:pPr>
              <w:pStyle w:val="BodyText"/>
            </w:pPr>
            <w:r>
              <w:t>For additional discussion of these C&amp;DIs and the potential impact of the staff’s views on disclosure of non-</w:t>
            </w:r>
            <w:r>
              <w:t xml:space="preserve">GAAP financial </w:t>
            </w:r>
            <w:r w:rsidR="00F87332">
              <w:t xml:space="preserve">measures, please refer to the </w:t>
            </w:r>
            <w:r w:rsidR="00F87332" w:rsidRPr="00AC4C5E">
              <w:t>Goodwin client alert</w:t>
            </w:r>
            <w:r w:rsidR="00F87332">
              <w:t xml:space="preserve"> on these C&amp;DIs</w:t>
            </w:r>
            <w:r w:rsidR="00AC4C5E">
              <w:t xml:space="preserve">: </w:t>
            </w:r>
            <w:hyperlink r:id="rId16" w:history="1">
              <w:r w:rsidR="00AC4C5E" w:rsidRPr="00AC4C5E">
                <w:rPr>
                  <w:rStyle w:val="Hyperlink"/>
                </w:rPr>
                <w:t>SEC Publishes New Non-GAAP Financial Measures Guidance as 2022 Year-End Reporting Season Approaches</w:t>
              </w:r>
            </w:hyperlink>
            <w:r w:rsidR="00AC4C5E">
              <w:t>.</w:t>
            </w:r>
          </w:p>
        </w:tc>
      </w:tr>
      <w:tr w:rsidR="00000000" w14:paraId="147B0486" w14:textId="77777777" w:rsidTr="006D5F83">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auto"/>
          </w:tcPr>
          <w:p w14:paraId="171F76D7" w14:textId="77777777" w:rsidR="00AC4C5E" w:rsidRDefault="0097739C" w:rsidP="00FD5EAC">
            <w:pPr>
              <w:pStyle w:val="Heading1"/>
              <w:keepNext w:val="0"/>
              <w:spacing w:before="0" w:after="120"/>
              <w:jc w:val="left"/>
              <w:rPr>
                <w:sz w:val="24"/>
                <w:szCs w:val="24"/>
                <w:u w:val="none"/>
              </w:rPr>
            </w:pPr>
            <w:r w:rsidRPr="0097739C">
              <w:rPr>
                <w:sz w:val="24"/>
                <w:szCs w:val="24"/>
                <w:u w:val="none"/>
              </w:rPr>
              <w:t>Sample Letter to Companies Regarding Recent Developments in Crypto Asset Markets</w:t>
            </w:r>
          </w:p>
          <w:p w14:paraId="2D1EDFC3" w14:textId="77777777" w:rsidR="0097739C" w:rsidRPr="0097739C" w:rsidRDefault="005B5528" w:rsidP="0097739C">
            <w:pPr>
              <w:pStyle w:val="BodyText"/>
            </w:pPr>
            <w:r w:rsidRPr="0097739C">
              <w:t xml:space="preserve">On December 8, </w:t>
            </w:r>
            <w:r w:rsidR="00483FC9">
              <w:t xml:space="preserve">2022, </w:t>
            </w:r>
            <w:r w:rsidRPr="0097739C">
              <w:t xml:space="preserve">the </w:t>
            </w:r>
            <w:r>
              <w:t>staff</w:t>
            </w:r>
            <w:r w:rsidRPr="0097739C">
              <w:t xml:space="preserve"> </w:t>
            </w:r>
            <w:r>
              <w:t>published</w:t>
            </w:r>
            <w:r w:rsidR="00483FC9">
              <w:t xml:space="preserve"> a</w:t>
            </w:r>
            <w:r>
              <w:t xml:space="preserve"> </w:t>
            </w:r>
            <w:hyperlink r:id="rId17" w:history="1">
              <w:r w:rsidR="00331E1D" w:rsidRPr="00331E1D">
                <w:rPr>
                  <w:rStyle w:val="Hyperlink"/>
                </w:rPr>
                <w:t>Sample Letter to Companies Regarding Recent Developments in Crypto Asset Markets</w:t>
              </w:r>
            </w:hyperlink>
            <w:r w:rsidR="00FE4668">
              <w:t xml:space="preserve">, the most recent guidance published by the staff as “staff guidance and comment letters.”  This sample letter contains </w:t>
            </w:r>
            <w:r w:rsidRPr="0097739C">
              <w:t xml:space="preserve">examples of comments that the </w:t>
            </w:r>
            <w:r w:rsidR="00FE4668">
              <w:t>staff</w:t>
            </w:r>
            <w:r w:rsidRPr="0097739C">
              <w:t xml:space="preserve"> may issue to companies regarding their disclosures about developments in crypto asset markets.</w:t>
            </w:r>
            <w:r w:rsidR="00DC286E">
              <w:t xml:space="preserve">  </w:t>
            </w:r>
            <w:r w:rsidRPr="0097739C">
              <w:t xml:space="preserve">The sample comments focus </w:t>
            </w:r>
            <w:r w:rsidR="00FE4668">
              <w:t xml:space="preserve">especially </w:t>
            </w:r>
            <w:r w:rsidR="00F06058">
              <w:t xml:space="preserve">on </w:t>
            </w:r>
            <w:r w:rsidR="00FE4668">
              <w:t xml:space="preserve">the views of the staff concerning the requirements for </w:t>
            </w:r>
            <w:r w:rsidRPr="0097739C">
              <w:t>clear disclosure about a company’s exposure to counterparties</w:t>
            </w:r>
            <w:r w:rsidRPr="0097739C">
              <w:t xml:space="preserve"> and other market participants; </w:t>
            </w:r>
            <w:r w:rsidR="00FE4668">
              <w:t>the</w:t>
            </w:r>
            <w:r w:rsidRPr="0097739C">
              <w:t xml:space="preserve"> company’s </w:t>
            </w:r>
            <w:r w:rsidR="00FE4668">
              <w:t xml:space="preserve">exposure to </w:t>
            </w:r>
            <w:r w:rsidRPr="0097739C">
              <w:t xml:space="preserve">liquidity and </w:t>
            </w:r>
            <w:r w:rsidR="00FE4668">
              <w:t>financing risks</w:t>
            </w:r>
            <w:r w:rsidRPr="0097739C">
              <w:t>; and risks related to legal proceedings</w:t>
            </w:r>
            <w:r w:rsidR="00F3116D">
              <w:t xml:space="preserve"> and regulatory </w:t>
            </w:r>
            <w:r w:rsidRPr="0097739C">
              <w:t>investigations</w:t>
            </w:r>
            <w:r w:rsidR="00F3116D">
              <w:t xml:space="preserve"> and related </w:t>
            </w:r>
            <w:r w:rsidRPr="0097739C">
              <w:t xml:space="preserve">impacts </w:t>
            </w:r>
            <w:r w:rsidR="00F3116D">
              <w:t xml:space="preserve">involving </w:t>
            </w:r>
            <w:r w:rsidRPr="0097739C">
              <w:t>crypto asset markets.</w:t>
            </w:r>
            <w:r w:rsidR="00DC286E">
              <w:t xml:space="preserve">  </w:t>
            </w:r>
            <w:r w:rsidR="00F3116D">
              <w:t xml:space="preserve">If relevant to a company, these issues may affect a variety of sections of the company’s Form 10-K report, including the description of business, the forward-looking statement disclaimer, </w:t>
            </w:r>
            <w:r w:rsidRPr="0097739C">
              <w:t xml:space="preserve">risk factors and </w:t>
            </w:r>
            <w:r w:rsidR="00F3116D">
              <w:t xml:space="preserve">MD&amp;A.  </w:t>
            </w:r>
            <w:r w:rsidR="00FB7CB8">
              <w:t>A</w:t>
            </w:r>
            <w:r w:rsidR="00F3116D">
              <w:t xml:space="preserve"> company</w:t>
            </w:r>
            <w:r w:rsidR="00FB7CB8">
              <w:t>’s</w:t>
            </w:r>
            <w:r w:rsidR="00F3116D">
              <w:t xml:space="preserve"> financial statements and financial statement footnotes may also require related review by the company</w:t>
            </w:r>
            <w:r w:rsidRPr="0097739C">
              <w:t>.</w:t>
            </w:r>
          </w:p>
        </w:tc>
      </w:tr>
      <w:tr w:rsidR="00000000" w14:paraId="230B47C0" w14:textId="77777777" w:rsidTr="006D5F83">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auto"/>
          </w:tcPr>
          <w:p w14:paraId="4E69437F" w14:textId="77777777" w:rsidR="003D3601" w:rsidRDefault="005B5528" w:rsidP="00C03FE2">
            <w:pPr>
              <w:pStyle w:val="Heading1"/>
              <w:keepNext w:val="0"/>
              <w:spacing w:before="0" w:after="120"/>
              <w:jc w:val="left"/>
              <w:rPr>
                <w:b w:val="0"/>
                <w:bCs/>
                <w:sz w:val="24"/>
                <w:szCs w:val="24"/>
                <w:u w:val="none"/>
              </w:rPr>
            </w:pPr>
            <w:r>
              <w:rPr>
                <w:sz w:val="24"/>
                <w:szCs w:val="24"/>
                <w:u w:val="none"/>
              </w:rPr>
              <w:lastRenderedPageBreak/>
              <w:t>Final Rule 10b5-1 and Insider Trading Rules</w:t>
            </w:r>
          </w:p>
          <w:p w14:paraId="374F4F88" w14:textId="77777777" w:rsidR="00C11CE3" w:rsidRDefault="003D3601" w:rsidP="00C03FE2">
            <w:pPr>
              <w:spacing w:after="120"/>
            </w:pPr>
            <w:r w:rsidRPr="003D3601">
              <w:t xml:space="preserve">On December 14, 2022, the Securities and Exchange Commission unanimously adopted </w:t>
            </w:r>
            <w:hyperlink r:id="rId18" w:history="1">
              <w:r w:rsidRPr="00C03FE2">
                <w:rPr>
                  <w:rStyle w:val="Hyperlink"/>
                </w:rPr>
                <w:t>final rules</w:t>
              </w:r>
            </w:hyperlink>
            <w:r w:rsidRPr="003D3601">
              <w:t xml:space="preserve"> relating to Rule 10b5-1 plans.</w:t>
            </w:r>
            <w:r w:rsidR="00911BED">
              <w:t xml:space="preserve">  </w:t>
            </w:r>
            <w:r w:rsidRPr="003D3601">
              <w:t>Properly structured, a Rule 10b5-1 plan provides an affirmative defense to Rule 10b-5 liability for insider trading.</w:t>
            </w:r>
            <w:r w:rsidR="00911BED">
              <w:t xml:space="preserve">  </w:t>
            </w:r>
            <w:r w:rsidR="00B10FC2">
              <w:t>In addition to new disclosure requirements summarized below, the final rules include a variety of rules that apply to Rule 10b5-1 plans, including mandatory “cooling off” periods, restrictions on overlapping trading plans and single trade plans</w:t>
            </w:r>
            <w:r w:rsidR="00B1000A">
              <w:t>,</w:t>
            </w:r>
            <w:r w:rsidR="00B10FC2">
              <w:t xml:space="preserve"> and a requirement that covered officers and directors make representations about their </w:t>
            </w:r>
            <w:r w:rsidR="005B5528">
              <w:t xml:space="preserve">good faith and trading intentions and their lack of </w:t>
            </w:r>
            <w:r w:rsidR="00B10FC2">
              <w:t xml:space="preserve">awareness of material nonpublic information about the </w:t>
            </w:r>
            <w:r w:rsidR="005B5528">
              <w:t>issuer and its securities.</w:t>
            </w:r>
          </w:p>
          <w:p w14:paraId="78AAD990" w14:textId="77777777" w:rsidR="003D3601" w:rsidRDefault="00C11CE3" w:rsidP="00C03FE2">
            <w:pPr>
              <w:spacing w:after="120"/>
            </w:pPr>
            <w:r w:rsidRPr="00C11CE3">
              <w:t>The</w:t>
            </w:r>
            <w:r>
              <w:t xml:space="preserve"> final</w:t>
            </w:r>
            <w:r w:rsidRPr="00C11CE3">
              <w:t xml:space="preserve"> rules </w:t>
            </w:r>
            <w:r>
              <w:t>are expected to</w:t>
            </w:r>
            <w:r w:rsidRPr="00C11CE3">
              <w:t xml:space="preserve"> be published in the</w:t>
            </w:r>
            <w:r w:rsidRPr="00C11CE3">
              <w:rPr>
                <w:i/>
                <w:iCs/>
              </w:rPr>
              <w:t xml:space="preserve"> Federal Register</w:t>
            </w:r>
            <w:r w:rsidRPr="00C11CE3">
              <w:t xml:space="preserve"> </w:t>
            </w:r>
            <w:r>
              <w:t xml:space="preserve">promptly </w:t>
            </w:r>
            <w:r w:rsidRPr="00C11CE3">
              <w:t xml:space="preserve">and will become effective 60 days following </w:t>
            </w:r>
            <w:r>
              <w:t>the</w:t>
            </w:r>
            <w:r w:rsidRPr="00C11CE3">
              <w:t xml:space="preserve"> publication date.</w:t>
            </w:r>
            <w:r w:rsidR="00911BED">
              <w:t xml:space="preserve">  </w:t>
            </w:r>
            <w:r w:rsidRPr="00C11CE3">
              <w:t xml:space="preserve">The updated Form 4 and Form 5 filing requirements will become effective on April 1, 2023. For </w:t>
            </w:r>
            <w:r>
              <w:t>companies</w:t>
            </w:r>
            <w:r w:rsidRPr="00C11CE3">
              <w:t xml:space="preserve"> that are not smaller reporting companies, the quarterly and annual disclosure requirements will be effective for the first filing that covers </w:t>
            </w:r>
            <w:r>
              <w:t>a</w:t>
            </w:r>
            <w:r w:rsidRPr="00C11CE3">
              <w:t xml:space="preserve"> full fiscal periods beginning on or after April 1, 2023. </w:t>
            </w:r>
            <w:r w:rsidR="00C03FE2">
              <w:t xml:space="preserve">For most domestic companies that are not smaller reporting companies, that will mean complying in the Form 10-Q or Form 10-K report for the fiscal quarter or fiscal year ending June 30, 2023.  </w:t>
            </w:r>
            <w:r w:rsidRPr="00C11CE3">
              <w:t>For smaller reporting companies, the quarterly and annual disclosure requirements will be effective for full fiscal periods that begin on or after October 1, 2023</w:t>
            </w:r>
            <w:r w:rsidR="00C03FE2">
              <w:t>, which will mean complying in the Form 10-Q or Form 10-K report for the fiscal quarter or fiscal year ending December 31, 2022</w:t>
            </w:r>
            <w:r w:rsidRPr="00C11CE3">
              <w:t>.</w:t>
            </w:r>
            <w:r w:rsidR="00C03FE2">
              <w:t xml:space="preserve">  For additional information, refer to the </w:t>
            </w:r>
            <w:hyperlink r:id="rId19" w:history="1">
              <w:r w:rsidR="00C03FE2" w:rsidRPr="00211254">
                <w:rPr>
                  <w:rStyle w:val="Hyperlink"/>
                </w:rPr>
                <w:t>Goodwin client alert</w:t>
              </w:r>
            </w:hyperlink>
            <w:r w:rsidR="00C03FE2">
              <w:t>.</w:t>
            </w:r>
          </w:p>
          <w:p w14:paraId="4D695C41" w14:textId="77777777" w:rsidR="003D3601" w:rsidRPr="003D3601" w:rsidRDefault="005B5528" w:rsidP="00C03FE2">
            <w:pPr>
              <w:pStyle w:val="BodyText"/>
              <w:spacing w:after="120"/>
            </w:pPr>
            <w:r w:rsidRPr="003D3601">
              <w:rPr>
                <w:b/>
                <w:bCs/>
              </w:rPr>
              <w:t>Disclosure requirements.</w:t>
            </w:r>
            <w:r w:rsidR="00911BED">
              <w:t>  </w:t>
            </w:r>
            <w:r w:rsidRPr="003D3601">
              <w:t>The Commission</w:t>
            </w:r>
            <w:r w:rsidR="00B1000A">
              <w:t xml:space="preserve"> adopted</w:t>
            </w:r>
            <w:r w:rsidRPr="003D3601">
              <w:t xml:space="preserve"> extensive amendments to its disclosure r</w:t>
            </w:r>
            <w:r w:rsidRPr="003D3601">
              <w:t>egulations:</w:t>
            </w:r>
          </w:p>
          <w:p w14:paraId="5E04F5AA" w14:textId="77777777" w:rsidR="003D3601" w:rsidRPr="003D3601" w:rsidRDefault="005B5528" w:rsidP="00C03FE2">
            <w:pPr>
              <w:pStyle w:val="BodyText"/>
              <w:numPr>
                <w:ilvl w:val="0"/>
                <w:numId w:val="49"/>
              </w:numPr>
              <w:spacing w:after="120"/>
            </w:pPr>
            <w:r w:rsidRPr="003D3601">
              <w:rPr>
                <w:u w:val="single"/>
              </w:rPr>
              <w:t>Rule 10b5-1 Plans</w:t>
            </w:r>
            <w:r w:rsidRPr="003D3601">
              <w:t>.</w:t>
            </w:r>
            <w:r w:rsidR="00911BED">
              <w:t xml:space="preserve">  </w:t>
            </w:r>
            <w:r w:rsidRPr="003D3601">
              <w:t>The Rule 10b5</w:t>
            </w:r>
            <w:r w:rsidR="009F7584">
              <w:t>-1</w:t>
            </w:r>
            <w:r w:rsidRPr="003D3601">
              <w:t xml:space="preserve"> amendments require issuers to report in their quarterly reports </w:t>
            </w:r>
            <w:r w:rsidR="000A0E72">
              <w:t xml:space="preserve">on Form 10-Q and annual report on Form 10-K </w:t>
            </w:r>
            <w:r w:rsidRPr="003D3601">
              <w:t>the adoption, material modification, and termination of Rule 10b5-1 plans and other types of written</w:t>
            </w:r>
            <w:r w:rsidRPr="003D3601">
              <w:t xml:space="preserve"> trading arrangements by its directors and officers as well as the material terms (other than pricing terms) of such trading arrangements. </w:t>
            </w:r>
          </w:p>
          <w:p w14:paraId="7F51629B" w14:textId="77777777" w:rsidR="003D3601" w:rsidRPr="003D3601" w:rsidRDefault="005B5528" w:rsidP="00C03FE2">
            <w:pPr>
              <w:pStyle w:val="BodyText"/>
              <w:numPr>
                <w:ilvl w:val="0"/>
                <w:numId w:val="49"/>
              </w:numPr>
              <w:spacing w:after="120"/>
            </w:pPr>
            <w:r w:rsidRPr="003D3601">
              <w:rPr>
                <w:u w:val="single"/>
              </w:rPr>
              <w:t>Insider Trading Policies</w:t>
            </w:r>
            <w:r w:rsidRPr="003D3601">
              <w:t>.</w:t>
            </w:r>
            <w:r w:rsidR="00911BED">
              <w:t xml:space="preserve">  </w:t>
            </w:r>
            <w:r w:rsidRPr="003D3601">
              <w:t>The new disclosure rules require issuers to indicate in their annual reports and proxy st</w:t>
            </w:r>
            <w:r w:rsidRPr="003D3601">
              <w:t>atements whether they have adopted insider trading policies and procedures.</w:t>
            </w:r>
            <w:r w:rsidR="00911BED">
              <w:t xml:space="preserve">  </w:t>
            </w:r>
            <w:r w:rsidRPr="003D3601">
              <w:t>If an issuer has not adopted such policies and procedures, it would be required to explain why not.</w:t>
            </w:r>
            <w:r w:rsidR="00911BED">
              <w:t xml:space="preserve">  </w:t>
            </w:r>
            <w:r w:rsidRPr="003D3601">
              <w:t>The insider trading policies and procedures must then be filed as an exhibit t</w:t>
            </w:r>
            <w:r w:rsidRPr="003D3601">
              <w:t>o Forms 10-K and 20-F, as applicable.</w:t>
            </w:r>
          </w:p>
          <w:p w14:paraId="7040CB11" w14:textId="77777777" w:rsidR="003D3601" w:rsidRPr="003D3601" w:rsidRDefault="005B5528" w:rsidP="00C03FE2">
            <w:pPr>
              <w:pStyle w:val="BodyText"/>
              <w:numPr>
                <w:ilvl w:val="0"/>
                <w:numId w:val="49"/>
              </w:numPr>
              <w:spacing w:after="120"/>
            </w:pPr>
            <w:r w:rsidRPr="003D3601">
              <w:rPr>
                <w:u w:val="single"/>
              </w:rPr>
              <w:t>Section 16 Filings</w:t>
            </w:r>
            <w:r w:rsidRPr="003D3601">
              <w:t>.</w:t>
            </w:r>
            <w:r w:rsidR="00911BED">
              <w:t xml:space="preserve">  </w:t>
            </w:r>
            <w:r w:rsidRPr="003D3601">
              <w:t>The SEC modified Form 4 so that</w:t>
            </w:r>
            <w:r w:rsidR="002E70FD">
              <w:t xml:space="preserve"> filers</w:t>
            </w:r>
            <w:r w:rsidRPr="003D3601">
              <w:t xml:space="preserve"> must check certain boxes to indicate whether a purchase or sale was made under a plan that is intended to satisfy the affirmative defense provisions of Rule 1</w:t>
            </w:r>
            <w:r w:rsidRPr="003D3601">
              <w:t>0b5-1(c) and the date of adoption of any such plan.</w:t>
            </w:r>
            <w:r w:rsidR="00911BED">
              <w:t xml:space="preserve">  </w:t>
            </w:r>
            <w:r w:rsidRPr="003D3601">
              <w:t>In addition, officers and directors are no longer permitted to report gifts of securities on Form 5; such gifts are now subject to the two-day reporting requirements of Form 4.</w:t>
            </w:r>
          </w:p>
          <w:p w14:paraId="00BB47A3" w14:textId="77777777" w:rsidR="003D3601" w:rsidRPr="003D3601" w:rsidRDefault="005B5528" w:rsidP="00C03FE2">
            <w:pPr>
              <w:pStyle w:val="BodyText"/>
              <w:numPr>
                <w:ilvl w:val="0"/>
                <w:numId w:val="49"/>
              </w:numPr>
              <w:spacing w:after="120"/>
            </w:pPr>
            <w:r w:rsidRPr="003D3601">
              <w:rPr>
                <w:u w:val="single"/>
              </w:rPr>
              <w:t>Option Grant Policies</w:t>
            </w:r>
            <w:r w:rsidRPr="003D3601">
              <w:t>.</w:t>
            </w:r>
            <w:r w:rsidR="00911BED">
              <w:t xml:space="preserve">  </w:t>
            </w:r>
            <w:r w:rsidRPr="003D3601">
              <w:t>Th</w:t>
            </w:r>
            <w:r w:rsidRPr="003D3601">
              <w:t>e final rules require issuers to disclose in their annual reports their grant policies and practices with respect to options and similar awards and how the board takes into account material nonpublic information when determining the timing and terms of awa</w:t>
            </w:r>
            <w:r w:rsidRPr="003D3601">
              <w:t>rds.</w:t>
            </w:r>
            <w:r w:rsidR="00911BED">
              <w:t xml:space="preserve">  </w:t>
            </w:r>
            <w:r w:rsidRPr="003D3601">
              <w:t xml:space="preserve">The new rules also require issuers to provide annual tabular disclosure showing stock option grants made within the period of four business days before the filing of a periodic report on Form 10-Q or Form 10-K or the filing or furnishing of a </w:t>
            </w:r>
            <w:r w:rsidR="00753745">
              <w:t>C</w:t>
            </w:r>
            <w:r w:rsidRPr="003D3601">
              <w:t>urrent</w:t>
            </w:r>
            <w:r w:rsidRPr="003D3601">
              <w:t xml:space="preserve"> </w:t>
            </w:r>
            <w:r w:rsidR="00753745">
              <w:t>R</w:t>
            </w:r>
            <w:r w:rsidRPr="003D3601">
              <w:t>eport on Form 8-K that discloses material nonpublic information (including earnings information) and ending one business day after a triggering event and the percentage change in the market price of the underlying securities between those two dates.</w:t>
            </w:r>
          </w:p>
          <w:p w14:paraId="2BB7E074" w14:textId="77777777" w:rsidR="003D3601" w:rsidRPr="003D3601" w:rsidRDefault="005B5528" w:rsidP="00C03FE2">
            <w:pPr>
              <w:pStyle w:val="BodyText"/>
              <w:spacing w:after="120"/>
            </w:pPr>
            <w:r w:rsidRPr="003D3601">
              <w:t>Publ</w:t>
            </w:r>
            <w:r w:rsidRPr="003D3601">
              <w:t>ic companies should evaluate their Insider Trading Policies in preparation for the public disclosure requirement and to ensure that they facilitate compliance with the new 10b5-1 plan rules.</w:t>
            </w:r>
            <w:r w:rsidR="00911BED">
              <w:t xml:space="preserve">  </w:t>
            </w:r>
            <w:r w:rsidRPr="003D3601">
              <w:t>Companies may want to consider establishing a standalone Rule 10</w:t>
            </w:r>
            <w:r w:rsidRPr="003D3601">
              <w:t>b5-1 Plan Policy that sets forth procedures and requirements for the adoption of 10b5-1 plans by company employees and directors.</w:t>
            </w:r>
          </w:p>
          <w:p w14:paraId="482A8A5F" w14:textId="77777777" w:rsidR="003D3601" w:rsidRPr="003D3601" w:rsidRDefault="003D3601" w:rsidP="003D3601">
            <w:pPr>
              <w:pStyle w:val="BodyText"/>
            </w:pPr>
          </w:p>
        </w:tc>
      </w:tr>
      <w:tr w:rsidR="00000000" w14:paraId="5829B173" w14:textId="77777777" w:rsidTr="006D5F83">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auto"/>
          </w:tcPr>
          <w:p w14:paraId="02CC5BD5" w14:textId="77777777" w:rsidR="003D3601" w:rsidRDefault="00211254" w:rsidP="003065F7">
            <w:pPr>
              <w:pStyle w:val="Heading1"/>
              <w:keepNext w:val="0"/>
              <w:spacing w:before="0" w:after="120"/>
              <w:jc w:val="left"/>
              <w:rPr>
                <w:b w:val="0"/>
                <w:bCs/>
                <w:sz w:val="24"/>
                <w:szCs w:val="24"/>
                <w:u w:val="none"/>
              </w:rPr>
            </w:pPr>
            <w:r>
              <w:rPr>
                <w:sz w:val="24"/>
                <w:szCs w:val="24"/>
                <w:u w:val="none"/>
              </w:rPr>
              <w:lastRenderedPageBreak/>
              <w:t>Final “Clawback” (Recovery of Erroneously Awarded Incentive-Based Compensation) Rules</w:t>
            </w:r>
          </w:p>
          <w:p w14:paraId="74EBAE00" w14:textId="77777777" w:rsidR="00211254" w:rsidRDefault="005B5528" w:rsidP="003065F7">
            <w:pPr>
              <w:pStyle w:val="BodyText"/>
              <w:spacing w:after="120"/>
            </w:pPr>
            <w:r>
              <w:t xml:space="preserve">On October 26, 2022, the SEC adopted </w:t>
            </w:r>
            <w:hyperlink r:id="rId20" w:history="1">
              <w:r w:rsidRPr="003065F7">
                <w:rPr>
                  <w:rStyle w:val="Hyperlink"/>
                </w:rPr>
                <w:t>final rules</w:t>
              </w:r>
            </w:hyperlink>
            <w:r>
              <w:t xml:space="preserve"> that require the U.S. national stock exchanges to </w:t>
            </w:r>
            <w:r w:rsidRPr="00211254">
              <w:t>propose and adopt new listing standards that will require listed companies to adopt and comply with policies that provide for th</w:t>
            </w:r>
            <w:r w:rsidRPr="00211254">
              <w:t>e recovery of incentive-based compensation received by current or former executive officers based on any misstated financial reporting measure if the company is required to prepare an accounting restatement.</w:t>
            </w:r>
            <w:r>
              <w:t xml:space="preserve">  The </w:t>
            </w:r>
            <w:r w:rsidR="004C018B">
              <w:t>final rules will also require listed companies that have been required to prepare an accounting restatement to disclose specified information about the restatement and the erroneously awarded compensation attributable to the restatement.</w:t>
            </w:r>
          </w:p>
          <w:p w14:paraId="107F3BFA" w14:textId="77777777" w:rsidR="004C018B" w:rsidRDefault="005B5528" w:rsidP="003065F7">
            <w:pPr>
              <w:spacing w:after="120"/>
            </w:pPr>
            <w:r w:rsidRPr="004C018B">
              <w:t xml:space="preserve">The final rules will apply to nearly all operating companies </w:t>
            </w:r>
            <w:r w:rsidRPr="004C018B">
              <w:t>that have securities listed on a securities exchange, with limited exceptions.</w:t>
            </w:r>
            <w:r w:rsidR="00911BED">
              <w:t xml:space="preserve">  </w:t>
            </w:r>
            <w:r w:rsidRPr="004C018B">
              <w:t xml:space="preserve">Securities exchanges are required to propose listing standards </w:t>
            </w:r>
            <w:r w:rsidR="003065F7">
              <w:t xml:space="preserve">not later than </w:t>
            </w:r>
            <w:r w:rsidR="00E81213">
              <w:t>February</w:t>
            </w:r>
            <w:r w:rsidR="003065F7">
              <w:t xml:space="preserve"> 27, 2023</w:t>
            </w:r>
            <w:r w:rsidRPr="004C018B">
              <w:t xml:space="preserve">, and such listing standards must be effective no later than </w:t>
            </w:r>
            <w:r w:rsidR="00E81213">
              <w:t>November 28</w:t>
            </w:r>
            <w:r w:rsidR="003065F7">
              <w:t>, 202</w:t>
            </w:r>
            <w:r w:rsidR="00E81213">
              <w:t>3</w:t>
            </w:r>
            <w:r w:rsidRPr="004C018B">
              <w:t>. C</w:t>
            </w:r>
            <w:r w:rsidRPr="004C018B">
              <w:t>ompanies subject to these listing standards must adopt a recovery policy no later than 60 days after exchange listing standards are effective.</w:t>
            </w:r>
            <w:r w:rsidR="00911BED">
              <w:t xml:space="preserve">  </w:t>
            </w:r>
            <w:r w:rsidRPr="004C018B">
              <w:t xml:space="preserve">Companies </w:t>
            </w:r>
            <w:r w:rsidR="000B2D08">
              <w:t xml:space="preserve">are not </w:t>
            </w:r>
            <w:r w:rsidRPr="004C018B">
              <w:t>required to comply with the new disclosure requirements in Item 402 in Regulation S-K until af</w:t>
            </w:r>
            <w:r w:rsidRPr="004C018B">
              <w:t>ter they are required to have a policy under the applicable exchange listing standard</w:t>
            </w:r>
            <w:r w:rsidR="003065F7">
              <w:t>.</w:t>
            </w:r>
          </w:p>
          <w:p w14:paraId="7C2CA7AE" w14:textId="77777777" w:rsidR="00211254" w:rsidRPr="00211254" w:rsidRDefault="003065F7" w:rsidP="003065F7">
            <w:pPr>
              <w:spacing w:after="120"/>
            </w:pPr>
            <w:r>
              <w:t xml:space="preserve">For additional information, refer to the </w:t>
            </w:r>
            <w:hyperlink r:id="rId21" w:history="1">
              <w:r w:rsidRPr="003065F7">
                <w:rPr>
                  <w:rStyle w:val="Hyperlink"/>
                </w:rPr>
                <w:t xml:space="preserve">Goodwin client alert </w:t>
              </w:r>
            </w:hyperlink>
            <w:r>
              <w:t>on the final clawback rules.</w:t>
            </w:r>
          </w:p>
        </w:tc>
      </w:tr>
      <w:tr w:rsidR="00000000" w14:paraId="27DCFF2A" w14:textId="77777777" w:rsidTr="0079703E">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auto"/>
          </w:tcPr>
          <w:p w14:paraId="528970B4" w14:textId="77777777" w:rsidR="0097739C" w:rsidRPr="00BD334C" w:rsidRDefault="005B5528" w:rsidP="0079703E">
            <w:pPr>
              <w:autoSpaceDE w:val="0"/>
              <w:autoSpaceDN w:val="0"/>
              <w:adjustRightInd w:val="0"/>
              <w:spacing w:before="240" w:after="240"/>
              <w:rPr>
                <w:b/>
                <w:bCs/>
                <w:iCs/>
                <w:smallCaps/>
                <w:sz w:val="28"/>
                <w:szCs w:val="28"/>
              </w:rPr>
            </w:pPr>
            <w:r w:rsidRPr="00BD334C">
              <w:rPr>
                <w:b/>
                <w:bCs/>
                <w:iCs/>
                <w:smallCaps/>
                <w:sz w:val="28"/>
                <w:szCs w:val="28"/>
              </w:rPr>
              <w:lastRenderedPageBreak/>
              <w:t>Selected Disclosure Developments and Trending Disclosure Topics for 2022 Form 10-</w:t>
            </w:r>
            <w:r w:rsidR="00847CEA">
              <w:rPr>
                <w:b/>
                <w:bCs/>
                <w:iCs/>
                <w:smallCaps/>
                <w:sz w:val="28"/>
                <w:szCs w:val="28"/>
              </w:rPr>
              <w:t>K</w:t>
            </w:r>
            <w:r w:rsidRPr="00BD334C">
              <w:rPr>
                <w:b/>
                <w:bCs/>
                <w:iCs/>
                <w:smallCaps/>
                <w:sz w:val="28"/>
                <w:szCs w:val="28"/>
              </w:rPr>
              <w:t xml:space="preserve"> Reports</w:t>
            </w:r>
          </w:p>
          <w:p w14:paraId="7DB580C1" w14:textId="77777777" w:rsidR="0097739C" w:rsidRPr="008A0262" w:rsidRDefault="005B5528" w:rsidP="0079703E">
            <w:pPr>
              <w:autoSpaceDE w:val="0"/>
              <w:autoSpaceDN w:val="0"/>
              <w:adjustRightInd w:val="0"/>
              <w:spacing w:after="120"/>
              <w:rPr>
                <w:sz w:val="21"/>
                <w:szCs w:val="21"/>
              </w:rPr>
            </w:pPr>
            <w:r w:rsidRPr="008A0262">
              <w:rPr>
                <w:sz w:val="21"/>
                <w:szCs w:val="21"/>
              </w:rPr>
              <w:t xml:space="preserve">Disclosure topics may </w:t>
            </w:r>
            <w:r>
              <w:rPr>
                <w:sz w:val="21"/>
                <w:szCs w:val="21"/>
              </w:rPr>
              <w:t>require disclosure</w:t>
            </w:r>
            <w:r w:rsidRPr="008A0262">
              <w:rPr>
                <w:sz w:val="21"/>
                <w:szCs w:val="21"/>
              </w:rPr>
              <w:t xml:space="preserve"> in multiple sections of a Form 10-</w:t>
            </w:r>
            <w:r w:rsidR="00847CEA">
              <w:rPr>
                <w:sz w:val="21"/>
                <w:szCs w:val="21"/>
              </w:rPr>
              <w:t>K</w:t>
            </w:r>
            <w:r w:rsidRPr="008A0262">
              <w:rPr>
                <w:sz w:val="21"/>
                <w:szCs w:val="21"/>
              </w:rPr>
              <w:t xml:space="preserve"> report.  For example, inflation and th</w:t>
            </w:r>
            <w:r w:rsidRPr="008A0262">
              <w:rPr>
                <w:sz w:val="21"/>
                <w:szCs w:val="21"/>
              </w:rPr>
              <w:t>e impact of rising interest rates may require disclosure in the Financial Statement Footnotes, MD&amp;A, the Forward-Looking Statement Disclaimer and Risk Factors.</w:t>
            </w:r>
          </w:p>
          <w:p w14:paraId="37196460" w14:textId="77777777" w:rsidR="0097739C" w:rsidRPr="008A0262" w:rsidRDefault="005B5528" w:rsidP="0079703E">
            <w:pPr>
              <w:autoSpaceDE w:val="0"/>
              <w:autoSpaceDN w:val="0"/>
              <w:adjustRightInd w:val="0"/>
              <w:spacing w:after="120"/>
              <w:rPr>
                <w:sz w:val="21"/>
                <w:szCs w:val="21"/>
              </w:rPr>
            </w:pPr>
            <w:r w:rsidRPr="008A0262">
              <w:rPr>
                <w:sz w:val="21"/>
                <w:szCs w:val="21"/>
              </w:rPr>
              <w:t>If a company has included disclosure about any of the topics listed below in Form 10-Q reports f</w:t>
            </w:r>
            <w:r w:rsidRPr="008A0262">
              <w:rPr>
                <w:sz w:val="21"/>
                <w:szCs w:val="21"/>
              </w:rPr>
              <w:t xml:space="preserve">or prior quarters </w:t>
            </w:r>
            <w:r w:rsidR="00847CEA">
              <w:rPr>
                <w:sz w:val="21"/>
                <w:szCs w:val="21"/>
              </w:rPr>
              <w:t>(</w:t>
            </w:r>
            <w:r w:rsidRPr="008A0262">
              <w:rPr>
                <w:sz w:val="21"/>
                <w:szCs w:val="21"/>
              </w:rPr>
              <w:t>or</w:t>
            </w:r>
            <w:r w:rsidR="00847CEA">
              <w:rPr>
                <w:sz w:val="21"/>
                <w:szCs w:val="21"/>
              </w:rPr>
              <w:t xml:space="preserve"> in some cases</w:t>
            </w:r>
            <w:r w:rsidRPr="008A0262">
              <w:rPr>
                <w:sz w:val="21"/>
                <w:szCs w:val="21"/>
              </w:rPr>
              <w:t xml:space="preserve"> its most recent Form 10-K report</w:t>
            </w:r>
            <w:r w:rsidR="00847CEA">
              <w:rPr>
                <w:sz w:val="21"/>
                <w:szCs w:val="21"/>
              </w:rPr>
              <w:t>)</w:t>
            </w:r>
            <w:r w:rsidRPr="008A0262">
              <w:rPr>
                <w:sz w:val="21"/>
                <w:szCs w:val="21"/>
              </w:rPr>
              <w:t>, review that disclosure and compare the related disclosure in the current draft of the Form 10-</w:t>
            </w:r>
            <w:r w:rsidR="00847CEA">
              <w:rPr>
                <w:sz w:val="21"/>
                <w:szCs w:val="21"/>
              </w:rPr>
              <w:t>K</w:t>
            </w:r>
            <w:r w:rsidRPr="008A0262">
              <w:rPr>
                <w:sz w:val="21"/>
                <w:szCs w:val="21"/>
              </w:rPr>
              <w:t xml:space="preserve"> report. </w:t>
            </w:r>
          </w:p>
          <w:p w14:paraId="642C7EE1" w14:textId="77777777" w:rsidR="0097739C" w:rsidRPr="008A0262" w:rsidRDefault="005B5528" w:rsidP="0079703E">
            <w:pPr>
              <w:autoSpaceDE w:val="0"/>
              <w:autoSpaceDN w:val="0"/>
              <w:adjustRightInd w:val="0"/>
              <w:spacing w:after="120"/>
              <w:rPr>
                <w:sz w:val="21"/>
                <w:szCs w:val="21"/>
              </w:rPr>
            </w:pPr>
            <w:r w:rsidRPr="008A0262">
              <w:rPr>
                <w:sz w:val="21"/>
                <w:szCs w:val="21"/>
              </w:rPr>
              <w:t>In addition to topics that may be particularly relevant to a specific company, i</w:t>
            </w:r>
            <w:r w:rsidRPr="008A0262">
              <w:rPr>
                <w:sz w:val="21"/>
                <w:szCs w:val="21"/>
              </w:rPr>
              <w:t>ndustry or market, the following topics (among others) may be generally relevant to many companies:</w:t>
            </w:r>
          </w:p>
          <w:p w14:paraId="1A0C6CEF" w14:textId="77777777" w:rsidR="0097739C" w:rsidRPr="008A0262" w:rsidRDefault="005B5528" w:rsidP="0097739C">
            <w:pPr>
              <w:numPr>
                <w:ilvl w:val="0"/>
                <w:numId w:val="45"/>
              </w:numPr>
              <w:autoSpaceDE w:val="0"/>
              <w:autoSpaceDN w:val="0"/>
              <w:adjustRightInd w:val="0"/>
              <w:spacing w:after="120"/>
              <w:rPr>
                <w:sz w:val="21"/>
                <w:szCs w:val="21"/>
              </w:rPr>
            </w:pPr>
            <w:r w:rsidRPr="008A0262">
              <w:rPr>
                <w:sz w:val="21"/>
                <w:szCs w:val="21"/>
              </w:rPr>
              <w:t>Inflation and rising interest rate</w:t>
            </w:r>
            <w:r>
              <w:rPr>
                <w:sz w:val="21"/>
                <w:szCs w:val="21"/>
              </w:rPr>
              <w:t>s,</w:t>
            </w:r>
          </w:p>
          <w:p w14:paraId="69BBD594" w14:textId="77777777" w:rsidR="0097739C" w:rsidRDefault="005B5528" w:rsidP="0097739C">
            <w:pPr>
              <w:numPr>
                <w:ilvl w:val="0"/>
                <w:numId w:val="45"/>
              </w:numPr>
              <w:autoSpaceDE w:val="0"/>
              <w:autoSpaceDN w:val="0"/>
              <w:adjustRightInd w:val="0"/>
              <w:spacing w:after="120"/>
              <w:rPr>
                <w:sz w:val="21"/>
                <w:szCs w:val="21"/>
              </w:rPr>
            </w:pPr>
            <w:r w:rsidRPr="008A0262">
              <w:rPr>
                <w:sz w:val="21"/>
                <w:szCs w:val="21"/>
              </w:rPr>
              <w:t>Financial market volatility and declines in financial market prices of equity securities;</w:t>
            </w:r>
          </w:p>
          <w:p w14:paraId="65FD76EA" w14:textId="77777777" w:rsidR="0097739C" w:rsidRPr="008A0262" w:rsidRDefault="005B5528" w:rsidP="0097739C">
            <w:pPr>
              <w:numPr>
                <w:ilvl w:val="0"/>
                <w:numId w:val="45"/>
              </w:numPr>
              <w:autoSpaceDE w:val="0"/>
              <w:autoSpaceDN w:val="0"/>
              <w:adjustRightInd w:val="0"/>
              <w:spacing w:after="120"/>
              <w:rPr>
                <w:sz w:val="21"/>
                <w:szCs w:val="21"/>
              </w:rPr>
            </w:pPr>
            <w:r>
              <w:rPr>
                <w:sz w:val="21"/>
                <w:szCs w:val="21"/>
              </w:rPr>
              <w:t>Liquidity and/or capital reso</w:t>
            </w:r>
            <w:r>
              <w:rPr>
                <w:sz w:val="21"/>
                <w:szCs w:val="21"/>
              </w:rPr>
              <w:t>urces changes and the impact of any changes or limitations, including, without limitation, ability to borrow funds and/or renew or roll over existing indebtedness;</w:t>
            </w:r>
          </w:p>
          <w:p w14:paraId="47C7DB47" w14:textId="77777777" w:rsidR="0097739C" w:rsidRPr="008A0262" w:rsidRDefault="005B5528" w:rsidP="0097739C">
            <w:pPr>
              <w:numPr>
                <w:ilvl w:val="0"/>
                <w:numId w:val="45"/>
              </w:numPr>
              <w:autoSpaceDE w:val="0"/>
              <w:autoSpaceDN w:val="0"/>
              <w:adjustRightInd w:val="0"/>
              <w:spacing w:after="120"/>
              <w:rPr>
                <w:sz w:val="21"/>
                <w:szCs w:val="21"/>
              </w:rPr>
            </w:pPr>
            <w:r>
              <w:rPr>
                <w:sz w:val="21"/>
                <w:szCs w:val="21"/>
              </w:rPr>
              <w:t>Ongoing or new s</w:t>
            </w:r>
            <w:r w:rsidRPr="008A0262">
              <w:rPr>
                <w:sz w:val="21"/>
                <w:szCs w:val="21"/>
              </w:rPr>
              <w:t xml:space="preserve">upply chain and product distribution/logistics issues; </w:t>
            </w:r>
          </w:p>
          <w:p w14:paraId="59341EB0" w14:textId="77777777" w:rsidR="0097739C" w:rsidRDefault="005B5528" w:rsidP="0097739C">
            <w:pPr>
              <w:numPr>
                <w:ilvl w:val="0"/>
                <w:numId w:val="45"/>
              </w:numPr>
              <w:autoSpaceDE w:val="0"/>
              <w:autoSpaceDN w:val="0"/>
              <w:adjustRightInd w:val="0"/>
              <w:spacing w:after="120"/>
              <w:rPr>
                <w:sz w:val="21"/>
                <w:szCs w:val="21"/>
              </w:rPr>
            </w:pPr>
            <w:r w:rsidRPr="008A0262">
              <w:rPr>
                <w:sz w:val="21"/>
                <w:szCs w:val="21"/>
              </w:rPr>
              <w:t xml:space="preserve">Ongoing </w:t>
            </w:r>
            <w:r>
              <w:rPr>
                <w:sz w:val="21"/>
                <w:szCs w:val="21"/>
              </w:rPr>
              <w:t>impacts of t</w:t>
            </w:r>
            <w:r>
              <w:rPr>
                <w:sz w:val="21"/>
                <w:szCs w:val="21"/>
              </w:rPr>
              <w:t xml:space="preserve">he </w:t>
            </w:r>
            <w:r w:rsidRPr="008A0262">
              <w:rPr>
                <w:sz w:val="21"/>
                <w:szCs w:val="21"/>
              </w:rPr>
              <w:t xml:space="preserve">war in Ukraine and </w:t>
            </w:r>
            <w:r>
              <w:rPr>
                <w:sz w:val="21"/>
                <w:szCs w:val="21"/>
              </w:rPr>
              <w:t xml:space="preserve">the </w:t>
            </w:r>
            <w:r w:rsidRPr="008A0262">
              <w:rPr>
                <w:sz w:val="21"/>
                <w:szCs w:val="21"/>
              </w:rPr>
              <w:t>Russian sanctions</w:t>
            </w:r>
            <w:r w:rsidR="00277E5B">
              <w:rPr>
                <w:sz w:val="21"/>
                <w:szCs w:val="21"/>
              </w:rPr>
              <w:t>; and</w:t>
            </w:r>
          </w:p>
          <w:p w14:paraId="3F8A355B" w14:textId="77777777" w:rsidR="00277E5B" w:rsidRPr="008A0262" w:rsidRDefault="005B5528" w:rsidP="0097739C">
            <w:pPr>
              <w:numPr>
                <w:ilvl w:val="0"/>
                <w:numId w:val="45"/>
              </w:numPr>
              <w:autoSpaceDE w:val="0"/>
              <w:autoSpaceDN w:val="0"/>
              <w:adjustRightInd w:val="0"/>
              <w:spacing w:after="120"/>
              <w:rPr>
                <w:sz w:val="21"/>
                <w:szCs w:val="21"/>
              </w:rPr>
            </w:pPr>
            <w:r>
              <w:rPr>
                <w:sz w:val="21"/>
                <w:szCs w:val="21"/>
              </w:rPr>
              <w:t>Economic recession.</w:t>
            </w:r>
          </w:p>
          <w:p w14:paraId="342DC1B8" w14:textId="77777777" w:rsidR="0097739C" w:rsidRPr="008A0262" w:rsidRDefault="005B5528" w:rsidP="0079703E">
            <w:pPr>
              <w:autoSpaceDE w:val="0"/>
              <w:autoSpaceDN w:val="0"/>
              <w:adjustRightInd w:val="0"/>
              <w:spacing w:after="120"/>
              <w:rPr>
                <w:sz w:val="21"/>
                <w:szCs w:val="21"/>
              </w:rPr>
            </w:pPr>
            <w:r w:rsidRPr="008A0262">
              <w:rPr>
                <w:sz w:val="21"/>
                <w:szCs w:val="21"/>
              </w:rPr>
              <w:t>Less common topics may include:</w:t>
            </w:r>
          </w:p>
          <w:p w14:paraId="5A6D8BA1" w14:textId="77777777" w:rsidR="0097739C" w:rsidRPr="008A0262" w:rsidRDefault="005B5528" w:rsidP="0097739C">
            <w:pPr>
              <w:numPr>
                <w:ilvl w:val="0"/>
                <w:numId w:val="45"/>
              </w:numPr>
              <w:autoSpaceDE w:val="0"/>
              <w:autoSpaceDN w:val="0"/>
              <w:adjustRightInd w:val="0"/>
              <w:spacing w:after="120"/>
              <w:rPr>
                <w:sz w:val="21"/>
                <w:szCs w:val="21"/>
              </w:rPr>
            </w:pPr>
            <w:r w:rsidRPr="008A0262">
              <w:rPr>
                <w:sz w:val="21"/>
                <w:szCs w:val="21"/>
              </w:rPr>
              <w:t xml:space="preserve">Expenses related to climate-related events and </w:t>
            </w:r>
            <w:r>
              <w:rPr>
                <w:sz w:val="21"/>
                <w:szCs w:val="21"/>
              </w:rPr>
              <w:t xml:space="preserve">expenses related to preparation for </w:t>
            </w:r>
            <w:r w:rsidRPr="008A0262">
              <w:rPr>
                <w:sz w:val="21"/>
                <w:szCs w:val="21"/>
              </w:rPr>
              <w:t>expected climate</w:t>
            </w:r>
            <w:r>
              <w:rPr>
                <w:sz w:val="21"/>
                <w:szCs w:val="21"/>
              </w:rPr>
              <w:t xml:space="preserve"> </w:t>
            </w:r>
            <w:r w:rsidRPr="008A0262">
              <w:rPr>
                <w:sz w:val="21"/>
                <w:szCs w:val="21"/>
              </w:rPr>
              <w:t xml:space="preserve">risk disclosure; </w:t>
            </w:r>
          </w:p>
          <w:p w14:paraId="37928CE2" w14:textId="77777777" w:rsidR="0097739C" w:rsidRPr="008A0262" w:rsidRDefault="005B5528" w:rsidP="0097739C">
            <w:pPr>
              <w:numPr>
                <w:ilvl w:val="0"/>
                <w:numId w:val="45"/>
              </w:numPr>
              <w:autoSpaceDE w:val="0"/>
              <w:autoSpaceDN w:val="0"/>
              <w:adjustRightInd w:val="0"/>
              <w:spacing w:after="120"/>
              <w:rPr>
                <w:sz w:val="21"/>
                <w:szCs w:val="21"/>
              </w:rPr>
            </w:pPr>
            <w:r w:rsidRPr="008A0262">
              <w:rPr>
                <w:sz w:val="21"/>
                <w:szCs w:val="21"/>
              </w:rPr>
              <w:t>Material risks or uncertainties, or r</w:t>
            </w:r>
            <w:r w:rsidRPr="008A0262">
              <w:rPr>
                <w:sz w:val="21"/>
                <w:szCs w:val="21"/>
              </w:rPr>
              <w:t>ecent income statement impacts, related to health care developments; and</w:t>
            </w:r>
          </w:p>
          <w:p w14:paraId="0C339B70" w14:textId="77777777" w:rsidR="0097739C" w:rsidRPr="0093465F" w:rsidRDefault="005B5528" w:rsidP="0097739C">
            <w:pPr>
              <w:numPr>
                <w:ilvl w:val="0"/>
                <w:numId w:val="45"/>
              </w:numPr>
              <w:autoSpaceDE w:val="0"/>
              <w:autoSpaceDN w:val="0"/>
              <w:adjustRightInd w:val="0"/>
              <w:spacing w:after="120"/>
              <w:rPr>
                <w:b/>
                <w:bCs/>
              </w:rPr>
            </w:pPr>
            <w:r w:rsidRPr="008A0262">
              <w:rPr>
                <w:sz w:val="21"/>
                <w:szCs w:val="21"/>
              </w:rPr>
              <w:t xml:space="preserve">European energy market issues that, in addition to inflation and rising interest rate impacts, may also affect some companies, especially those </w:t>
            </w:r>
            <w:r>
              <w:rPr>
                <w:sz w:val="21"/>
                <w:szCs w:val="21"/>
              </w:rPr>
              <w:t xml:space="preserve">that have </w:t>
            </w:r>
            <w:r w:rsidRPr="008A0262">
              <w:rPr>
                <w:sz w:val="21"/>
                <w:szCs w:val="21"/>
              </w:rPr>
              <w:t xml:space="preserve">business operations </w:t>
            </w:r>
            <w:r>
              <w:rPr>
                <w:sz w:val="21"/>
                <w:szCs w:val="21"/>
              </w:rPr>
              <w:t>or signif</w:t>
            </w:r>
            <w:r>
              <w:rPr>
                <w:sz w:val="21"/>
                <w:szCs w:val="21"/>
              </w:rPr>
              <w:t>icant markets in Europ</w:t>
            </w:r>
            <w:r w:rsidRPr="008A0262">
              <w:rPr>
                <w:sz w:val="21"/>
                <w:szCs w:val="21"/>
              </w:rPr>
              <w:t>e.</w:t>
            </w:r>
          </w:p>
          <w:p w14:paraId="32DEC94B" w14:textId="77777777" w:rsidR="0097739C" w:rsidRPr="00BD334C" w:rsidRDefault="0097739C" w:rsidP="0079703E">
            <w:pPr>
              <w:autoSpaceDE w:val="0"/>
              <w:autoSpaceDN w:val="0"/>
              <w:adjustRightInd w:val="0"/>
              <w:spacing w:after="120"/>
              <w:rPr>
                <w:b/>
                <w:bCs/>
              </w:rPr>
            </w:pPr>
          </w:p>
        </w:tc>
      </w:tr>
      <w:tr w:rsidR="00000000" w14:paraId="3A6444C9" w14:textId="77777777" w:rsidTr="0079703E">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auto"/>
          </w:tcPr>
          <w:p w14:paraId="6435BB95" w14:textId="77777777" w:rsidR="0097739C" w:rsidRPr="008B77F7" w:rsidRDefault="005B5528" w:rsidP="0079703E">
            <w:pPr>
              <w:spacing w:after="120"/>
              <w:rPr>
                <w:rFonts w:cs="Calibri"/>
              </w:rPr>
            </w:pPr>
            <w:r w:rsidRPr="008B77F7">
              <w:rPr>
                <w:rFonts w:cs="Calibri"/>
                <w:b/>
                <w:bCs/>
              </w:rPr>
              <w:lastRenderedPageBreak/>
              <w:t>Inflation and Rising Interest Rates</w:t>
            </w:r>
          </w:p>
          <w:p w14:paraId="7C6A2E59" w14:textId="77777777" w:rsidR="0097739C" w:rsidRPr="0093465F" w:rsidRDefault="005B5528" w:rsidP="0079703E">
            <w:pPr>
              <w:spacing w:after="120"/>
              <w:rPr>
                <w:rFonts w:cs="Calibri"/>
                <w:sz w:val="21"/>
                <w:szCs w:val="21"/>
              </w:rPr>
            </w:pPr>
            <w:r w:rsidRPr="0093465F">
              <w:rPr>
                <w:rFonts w:cs="Calibri"/>
                <w:sz w:val="21"/>
                <w:szCs w:val="21"/>
              </w:rPr>
              <w:t xml:space="preserve">Review </w:t>
            </w:r>
            <w:r w:rsidR="00847CEA">
              <w:rPr>
                <w:rFonts w:cs="Calibri"/>
                <w:sz w:val="21"/>
                <w:szCs w:val="21"/>
              </w:rPr>
              <w:t>Business (Part I, Item 1), Risk Factors (Part 1, Item 1A)</w:t>
            </w:r>
            <w:r w:rsidR="00C62219">
              <w:rPr>
                <w:rFonts w:cs="Calibri"/>
                <w:sz w:val="21"/>
                <w:szCs w:val="21"/>
              </w:rPr>
              <w:t xml:space="preserve">, the forward-looking statement disclaimer, </w:t>
            </w:r>
            <w:r w:rsidRPr="0093465F">
              <w:rPr>
                <w:rFonts w:cs="Calibri"/>
                <w:sz w:val="21"/>
                <w:szCs w:val="21"/>
              </w:rPr>
              <w:t xml:space="preserve">MD&amp;A (Part </w:t>
            </w:r>
            <w:r w:rsidR="00C62219">
              <w:rPr>
                <w:rFonts w:cs="Calibri"/>
                <w:sz w:val="21"/>
                <w:szCs w:val="21"/>
              </w:rPr>
              <w:t>II</w:t>
            </w:r>
            <w:r w:rsidRPr="0093465F">
              <w:rPr>
                <w:rFonts w:cs="Calibri"/>
                <w:sz w:val="21"/>
                <w:szCs w:val="21"/>
              </w:rPr>
              <w:t xml:space="preserve">, Item </w:t>
            </w:r>
            <w:r w:rsidR="00C62219">
              <w:rPr>
                <w:rFonts w:cs="Calibri"/>
                <w:sz w:val="21"/>
                <w:szCs w:val="21"/>
              </w:rPr>
              <w:t>7</w:t>
            </w:r>
            <w:r w:rsidRPr="0093465F">
              <w:rPr>
                <w:rFonts w:cs="Calibri"/>
                <w:sz w:val="21"/>
                <w:szCs w:val="21"/>
              </w:rPr>
              <w:t xml:space="preserve">) and </w:t>
            </w:r>
            <w:r w:rsidR="00C62219">
              <w:rPr>
                <w:rFonts w:cs="Calibri"/>
                <w:sz w:val="21"/>
                <w:szCs w:val="21"/>
              </w:rPr>
              <w:t xml:space="preserve">the footnotes to the financial statements (Part II, Item 8) </w:t>
            </w:r>
            <w:r w:rsidRPr="0093465F">
              <w:rPr>
                <w:rFonts w:cs="Calibri"/>
                <w:sz w:val="21"/>
                <w:szCs w:val="21"/>
              </w:rPr>
              <w:t xml:space="preserve">for disclosure about the impact and/or </w:t>
            </w:r>
            <w:r w:rsidRPr="0093465F">
              <w:rPr>
                <w:iCs/>
                <w:sz w:val="21"/>
                <w:szCs w:val="21"/>
              </w:rPr>
              <w:t>known potential material future effects</w:t>
            </w:r>
            <w:r w:rsidRPr="0093465F">
              <w:rPr>
                <w:rFonts w:cs="Calibri"/>
                <w:sz w:val="21"/>
                <w:szCs w:val="21"/>
              </w:rPr>
              <w:t xml:space="preserve"> of inflation and rising interest rates.  Recent Form 10-</w:t>
            </w:r>
            <w:r w:rsidR="00C62219">
              <w:rPr>
                <w:rFonts w:cs="Calibri"/>
                <w:sz w:val="21"/>
                <w:szCs w:val="21"/>
              </w:rPr>
              <w:t>K and Form 10-Q</w:t>
            </w:r>
            <w:r w:rsidRPr="0093465F">
              <w:rPr>
                <w:rFonts w:cs="Calibri"/>
                <w:sz w:val="21"/>
                <w:szCs w:val="21"/>
              </w:rPr>
              <w:t xml:space="preserve"> filings have included factors such as the following:</w:t>
            </w:r>
          </w:p>
          <w:p w14:paraId="108109C4" w14:textId="77777777" w:rsidR="0097739C" w:rsidRPr="0093465F" w:rsidRDefault="005B5528" w:rsidP="0097739C">
            <w:pPr>
              <w:pStyle w:val="Goodwin-BulletedList"/>
              <w:numPr>
                <w:ilvl w:val="0"/>
                <w:numId w:val="42"/>
              </w:numPr>
              <w:spacing w:after="120"/>
              <w:ind w:left="446"/>
              <w:rPr>
                <w:rFonts w:ascii="Arial Narrow" w:hAnsi="Arial Narrow"/>
                <w:b/>
                <w:bCs/>
                <w:i/>
                <w:iCs/>
                <w:sz w:val="21"/>
                <w:szCs w:val="21"/>
              </w:rPr>
            </w:pPr>
            <w:r w:rsidRPr="0093465F">
              <w:rPr>
                <w:rFonts w:ascii="Arial Narrow" w:hAnsi="Arial Narrow"/>
                <w:b/>
                <w:bCs/>
                <w:i/>
                <w:iCs/>
                <w:sz w:val="21"/>
                <w:szCs w:val="21"/>
              </w:rPr>
              <w:t>Current and future increases in operating costs:</w:t>
            </w:r>
          </w:p>
          <w:p w14:paraId="41605A60" w14:textId="77777777" w:rsidR="0097739C" w:rsidRPr="0093465F" w:rsidRDefault="005B5528" w:rsidP="0097739C">
            <w:pPr>
              <w:pStyle w:val="Goodwin-BulletedList"/>
              <w:numPr>
                <w:ilvl w:val="0"/>
                <w:numId w:val="44"/>
              </w:numPr>
              <w:spacing w:after="120"/>
              <w:rPr>
                <w:rFonts w:ascii="Arial Narrow" w:hAnsi="Arial Narrow"/>
                <w:sz w:val="21"/>
                <w:szCs w:val="21"/>
              </w:rPr>
            </w:pPr>
            <w:r w:rsidRPr="0093465F">
              <w:rPr>
                <w:rFonts w:ascii="Arial Narrow" w:hAnsi="Arial Narrow"/>
                <w:sz w:val="21"/>
                <w:szCs w:val="21"/>
              </w:rPr>
              <w:t>F</w:t>
            </w:r>
            <w:r w:rsidRPr="0093465F">
              <w:rPr>
                <w:rFonts w:ascii="Arial Narrow" w:hAnsi="Arial Narrow"/>
                <w:sz w:val="21"/>
                <w:szCs w:val="21"/>
              </w:rPr>
              <w:t>uel and energy costs, including utilities</w:t>
            </w:r>
          </w:p>
          <w:p w14:paraId="2877FB3B" w14:textId="77777777" w:rsidR="0097739C" w:rsidRPr="0093465F" w:rsidRDefault="005B5528" w:rsidP="0097739C">
            <w:pPr>
              <w:pStyle w:val="Goodwin-BulletedList"/>
              <w:numPr>
                <w:ilvl w:val="0"/>
                <w:numId w:val="44"/>
              </w:numPr>
              <w:spacing w:after="120"/>
              <w:rPr>
                <w:rFonts w:ascii="Arial Narrow" w:hAnsi="Arial Narrow"/>
                <w:sz w:val="21"/>
                <w:szCs w:val="21"/>
              </w:rPr>
            </w:pPr>
            <w:r w:rsidRPr="0093465F">
              <w:rPr>
                <w:rFonts w:ascii="Arial Narrow" w:hAnsi="Arial Narrow"/>
                <w:sz w:val="21"/>
                <w:szCs w:val="21"/>
              </w:rPr>
              <w:t>Transportation, shipping and freight costs</w:t>
            </w:r>
          </w:p>
          <w:p w14:paraId="1DEDBE8F" w14:textId="77777777" w:rsidR="0097739C" w:rsidRPr="0093465F" w:rsidRDefault="005B5528" w:rsidP="0097739C">
            <w:pPr>
              <w:pStyle w:val="Goodwin-BulletedList"/>
              <w:numPr>
                <w:ilvl w:val="0"/>
                <w:numId w:val="44"/>
              </w:numPr>
              <w:spacing w:after="120"/>
              <w:rPr>
                <w:rFonts w:ascii="Arial Narrow" w:hAnsi="Arial Narrow"/>
                <w:sz w:val="21"/>
                <w:szCs w:val="21"/>
              </w:rPr>
            </w:pPr>
            <w:r w:rsidRPr="0093465F">
              <w:rPr>
                <w:rFonts w:ascii="Arial Narrow" w:hAnsi="Arial Narrow"/>
                <w:sz w:val="21"/>
                <w:szCs w:val="21"/>
              </w:rPr>
              <w:t>Components and raw materials costs</w:t>
            </w:r>
          </w:p>
          <w:p w14:paraId="44B4294C" w14:textId="77777777" w:rsidR="0097739C" w:rsidRPr="0093465F" w:rsidRDefault="005B5528" w:rsidP="0097739C">
            <w:pPr>
              <w:pStyle w:val="Goodwin-BulletedList"/>
              <w:numPr>
                <w:ilvl w:val="0"/>
                <w:numId w:val="44"/>
              </w:numPr>
              <w:spacing w:after="120"/>
              <w:rPr>
                <w:rFonts w:ascii="Arial Narrow" w:hAnsi="Arial Narrow"/>
                <w:sz w:val="21"/>
                <w:szCs w:val="21"/>
              </w:rPr>
            </w:pPr>
            <w:r w:rsidRPr="0093465F">
              <w:rPr>
                <w:rFonts w:ascii="Arial Narrow" w:hAnsi="Arial Narrow"/>
                <w:sz w:val="21"/>
                <w:szCs w:val="21"/>
              </w:rPr>
              <w:t xml:space="preserve">Wages and labor costs </w:t>
            </w:r>
          </w:p>
          <w:p w14:paraId="4EA12F09" w14:textId="77777777" w:rsidR="0097739C" w:rsidRPr="0093465F" w:rsidRDefault="005B5528" w:rsidP="0097739C">
            <w:pPr>
              <w:pStyle w:val="Goodwin-BulletedList"/>
              <w:numPr>
                <w:ilvl w:val="0"/>
                <w:numId w:val="42"/>
              </w:numPr>
              <w:spacing w:after="120"/>
              <w:ind w:left="446"/>
              <w:rPr>
                <w:rFonts w:ascii="Arial Narrow" w:hAnsi="Arial Narrow"/>
                <w:sz w:val="21"/>
                <w:szCs w:val="21"/>
              </w:rPr>
            </w:pPr>
            <w:r w:rsidRPr="0093465F">
              <w:rPr>
                <w:rFonts w:ascii="Arial Narrow" w:hAnsi="Arial Narrow"/>
                <w:b/>
                <w:bCs/>
                <w:i/>
                <w:iCs/>
                <w:sz w:val="21"/>
                <w:szCs w:val="21"/>
              </w:rPr>
              <w:t>Financing availability and capital markets access:</w:t>
            </w:r>
          </w:p>
          <w:p w14:paraId="189651BA" w14:textId="77777777" w:rsidR="0097739C" w:rsidRPr="0093465F" w:rsidRDefault="005B5528" w:rsidP="0097739C">
            <w:pPr>
              <w:pStyle w:val="Goodwin-BulletedList"/>
              <w:numPr>
                <w:ilvl w:val="0"/>
                <w:numId w:val="44"/>
              </w:numPr>
              <w:spacing w:after="120"/>
              <w:rPr>
                <w:rFonts w:ascii="Arial Narrow" w:hAnsi="Arial Narrow"/>
                <w:sz w:val="21"/>
                <w:szCs w:val="21"/>
              </w:rPr>
            </w:pPr>
            <w:r w:rsidRPr="0093465F">
              <w:rPr>
                <w:rFonts w:ascii="Arial Narrow" w:hAnsi="Arial Narrow"/>
                <w:sz w:val="21"/>
                <w:szCs w:val="21"/>
              </w:rPr>
              <w:t>Higher interest rates and debt capital costs</w:t>
            </w:r>
          </w:p>
          <w:p w14:paraId="59C9FDCC" w14:textId="77777777" w:rsidR="0097739C" w:rsidRPr="0093465F" w:rsidRDefault="005B5528" w:rsidP="0097739C">
            <w:pPr>
              <w:pStyle w:val="Goodwin-BulletedList"/>
              <w:numPr>
                <w:ilvl w:val="0"/>
                <w:numId w:val="44"/>
              </w:numPr>
              <w:spacing w:after="120"/>
              <w:rPr>
                <w:rFonts w:ascii="Arial Narrow" w:hAnsi="Arial Narrow"/>
                <w:sz w:val="21"/>
                <w:szCs w:val="21"/>
              </w:rPr>
            </w:pPr>
            <w:r w:rsidRPr="0093465F">
              <w:rPr>
                <w:rFonts w:ascii="Arial Narrow" w:hAnsi="Arial Narrow"/>
                <w:sz w:val="21"/>
                <w:szCs w:val="21"/>
              </w:rPr>
              <w:t>Diminished credit</w:t>
            </w:r>
            <w:r w:rsidRPr="0093465F">
              <w:rPr>
                <w:rFonts w:ascii="Arial Narrow" w:hAnsi="Arial Narrow"/>
                <w:sz w:val="21"/>
                <w:szCs w:val="21"/>
              </w:rPr>
              <w:t xml:space="preserve"> availability and liquidity</w:t>
            </w:r>
          </w:p>
          <w:p w14:paraId="351A61E9" w14:textId="77777777" w:rsidR="0097739C" w:rsidRPr="0093465F" w:rsidRDefault="005B5528" w:rsidP="0097739C">
            <w:pPr>
              <w:pStyle w:val="Goodwin-BulletedList"/>
              <w:numPr>
                <w:ilvl w:val="0"/>
                <w:numId w:val="44"/>
              </w:numPr>
              <w:spacing w:after="120"/>
              <w:rPr>
                <w:rFonts w:ascii="Arial Narrow" w:hAnsi="Arial Narrow"/>
                <w:sz w:val="21"/>
                <w:szCs w:val="21"/>
              </w:rPr>
            </w:pPr>
            <w:r w:rsidRPr="0093465F">
              <w:rPr>
                <w:rFonts w:ascii="Arial Narrow" w:hAnsi="Arial Narrow"/>
                <w:sz w:val="21"/>
                <w:szCs w:val="21"/>
              </w:rPr>
              <w:t>Lower equity market prices</w:t>
            </w:r>
          </w:p>
          <w:p w14:paraId="502B0993" w14:textId="77777777" w:rsidR="0097739C" w:rsidRPr="0093465F" w:rsidRDefault="005B5528" w:rsidP="0097739C">
            <w:pPr>
              <w:pStyle w:val="Goodwin-BulletedList"/>
              <w:numPr>
                <w:ilvl w:val="0"/>
                <w:numId w:val="42"/>
              </w:numPr>
              <w:spacing w:after="120"/>
              <w:ind w:left="446"/>
              <w:rPr>
                <w:rFonts w:ascii="Arial Narrow" w:hAnsi="Arial Narrow"/>
                <w:b/>
                <w:bCs/>
                <w:i/>
                <w:iCs/>
                <w:sz w:val="21"/>
                <w:szCs w:val="21"/>
              </w:rPr>
            </w:pPr>
            <w:r w:rsidRPr="0093465F">
              <w:rPr>
                <w:rFonts w:ascii="Arial Narrow" w:hAnsi="Arial Narrow"/>
                <w:b/>
                <w:bCs/>
                <w:i/>
                <w:iCs/>
                <w:sz w:val="21"/>
                <w:szCs w:val="21"/>
              </w:rPr>
              <w:t>Economic and financial conditions:</w:t>
            </w:r>
          </w:p>
          <w:p w14:paraId="1E1B35C1" w14:textId="77777777" w:rsidR="0097739C" w:rsidRPr="0093465F" w:rsidRDefault="005B5528" w:rsidP="0097739C">
            <w:pPr>
              <w:pStyle w:val="Goodwin-BulletedList"/>
              <w:numPr>
                <w:ilvl w:val="0"/>
                <w:numId w:val="44"/>
              </w:numPr>
              <w:spacing w:after="120"/>
              <w:rPr>
                <w:rFonts w:ascii="Arial Narrow" w:hAnsi="Arial Narrow"/>
                <w:sz w:val="21"/>
                <w:szCs w:val="21"/>
              </w:rPr>
            </w:pPr>
            <w:r w:rsidRPr="0093465F">
              <w:rPr>
                <w:rFonts w:ascii="Arial Narrow" w:hAnsi="Arial Narrow"/>
                <w:sz w:val="21"/>
                <w:szCs w:val="21"/>
              </w:rPr>
              <w:t>Reduced consumer confidence and discretionary spending</w:t>
            </w:r>
          </w:p>
          <w:p w14:paraId="14E9EF6E" w14:textId="77777777" w:rsidR="0097739C" w:rsidRPr="0093465F" w:rsidRDefault="005B5528" w:rsidP="0097739C">
            <w:pPr>
              <w:pStyle w:val="Goodwin-BulletedList"/>
              <w:numPr>
                <w:ilvl w:val="0"/>
                <w:numId w:val="44"/>
              </w:numPr>
              <w:spacing w:after="120"/>
              <w:rPr>
                <w:rFonts w:ascii="Arial Narrow" w:hAnsi="Arial Narrow"/>
                <w:sz w:val="21"/>
                <w:szCs w:val="21"/>
              </w:rPr>
            </w:pPr>
            <w:r w:rsidRPr="0093465F">
              <w:rPr>
                <w:rFonts w:ascii="Arial Narrow" w:hAnsi="Arial Narrow"/>
                <w:sz w:val="21"/>
                <w:szCs w:val="21"/>
              </w:rPr>
              <w:t>Changes in fiscal and monetary policy</w:t>
            </w:r>
            <w:r>
              <w:rPr>
                <w:rFonts w:ascii="Arial Narrow" w:hAnsi="Arial Narrow"/>
                <w:sz w:val="21"/>
                <w:szCs w:val="21"/>
              </w:rPr>
              <w:t>, including higher interest rates</w:t>
            </w:r>
          </w:p>
          <w:p w14:paraId="6D92F8EB" w14:textId="77777777" w:rsidR="0097739C" w:rsidRPr="008B77F7" w:rsidRDefault="005B5528" w:rsidP="0097739C">
            <w:pPr>
              <w:pStyle w:val="Goodwin-BulletedList"/>
              <w:numPr>
                <w:ilvl w:val="0"/>
                <w:numId w:val="44"/>
              </w:numPr>
              <w:spacing w:after="120"/>
              <w:rPr>
                <w:sz w:val="20"/>
                <w:szCs w:val="20"/>
              </w:rPr>
            </w:pPr>
            <w:r w:rsidRPr="0093465F">
              <w:rPr>
                <w:rFonts w:ascii="Arial Narrow" w:hAnsi="Arial Narrow"/>
                <w:sz w:val="21"/>
                <w:szCs w:val="21"/>
              </w:rPr>
              <w:t>Currency fluctuations</w:t>
            </w:r>
          </w:p>
        </w:tc>
      </w:tr>
      <w:tr w:rsidR="00000000" w14:paraId="2BA39D21" w14:textId="77777777" w:rsidTr="0079703E">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auto"/>
          </w:tcPr>
          <w:p w14:paraId="33AF9EC6" w14:textId="77777777" w:rsidR="0097739C" w:rsidRPr="004D6BEC" w:rsidRDefault="005B5528" w:rsidP="0079703E">
            <w:pPr>
              <w:pStyle w:val="BodyText"/>
              <w:ind w:left="360"/>
              <w:rPr>
                <w:b/>
                <w:bCs/>
                <w:iCs/>
                <w:szCs w:val="24"/>
              </w:rPr>
            </w:pPr>
            <w:r w:rsidRPr="004D6BEC">
              <w:rPr>
                <w:b/>
                <w:bCs/>
                <w:iCs/>
                <w:szCs w:val="24"/>
              </w:rPr>
              <w:lastRenderedPageBreak/>
              <w:t>Russian Sanctions</w:t>
            </w:r>
            <w:r w:rsidRPr="004D6BEC">
              <w:rPr>
                <w:b/>
                <w:bCs/>
                <w:iCs/>
                <w:szCs w:val="24"/>
              </w:rPr>
              <w:t>, Russia-Ukraine Conflict and Related Disclosure</w:t>
            </w:r>
          </w:p>
          <w:p w14:paraId="736ADDE7" w14:textId="77777777" w:rsidR="0097739C" w:rsidRPr="004D6BEC" w:rsidRDefault="005B5528" w:rsidP="0079703E">
            <w:pPr>
              <w:pStyle w:val="BodyText"/>
              <w:ind w:left="360"/>
              <w:rPr>
                <w:iCs/>
                <w:sz w:val="21"/>
                <w:szCs w:val="21"/>
              </w:rPr>
            </w:pPr>
            <w:r w:rsidRPr="004D6BEC">
              <w:rPr>
                <w:rFonts w:cs="Calibri"/>
                <w:sz w:val="21"/>
                <w:szCs w:val="21"/>
              </w:rPr>
              <w:t xml:space="preserve">Review MD&amp;A (Part </w:t>
            </w:r>
            <w:r w:rsidR="00C62219">
              <w:rPr>
                <w:rFonts w:cs="Calibri"/>
                <w:sz w:val="21"/>
                <w:szCs w:val="21"/>
              </w:rPr>
              <w:t>II</w:t>
            </w:r>
            <w:r w:rsidRPr="004D6BEC">
              <w:rPr>
                <w:rFonts w:cs="Calibri"/>
                <w:sz w:val="21"/>
                <w:szCs w:val="21"/>
              </w:rPr>
              <w:t>, Item</w:t>
            </w:r>
            <w:r w:rsidR="00C62219">
              <w:rPr>
                <w:rFonts w:cs="Calibri"/>
                <w:sz w:val="21"/>
                <w:szCs w:val="21"/>
              </w:rPr>
              <w:t xml:space="preserve"> 7</w:t>
            </w:r>
            <w:r w:rsidRPr="004D6BEC">
              <w:rPr>
                <w:rFonts w:cs="Calibri"/>
                <w:sz w:val="21"/>
                <w:szCs w:val="21"/>
              </w:rPr>
              <w:t xml:space="preserve">) and Risk Factors (Part </w:t>
            </w:r>
            <w:r w:rsidR="00C62219">
              <w:rPr>
                <w:rFonts w:cs="Calibri"/>
                <w:sz w:val="21"/>
                <w:szCs w:val="21"/>
              </w:rPr>
              <w:t>1</w:t>
            </w:r>
            <w:r w:rsidRPr="004D6BEC">
              <w:rPr>
                <w:rFonts w:cs="Calibri"/>
                <w:sz w:val="21"/>
                <w:szCs w:val="21"/>
              </w:rPr>
              <w:t xml:space="preserve">, Item 1A) for disclosure about the impact and/or </w:t>
            </w:r>
            <w:r w:rsidRPr="004D6BEC">
              <w:rPr>
                <w:iCs/>
                <w:sz w:val="21"/>
                <w:szCs w:val="21"/>
              </w:rPr>
              <w:t>known potential material future effects</w:t>
            </w:r>
            <w:r w:rsidRPr="004D6BEC">
              <w:rPr>
                <w:rFonts w:cs="Calibri"/>
                <w:sz w:val="21"/>
                <w:szCs w:val="21"/>
              </w:rPr>
              <w:t xml:space="preserve"> of o</w:t>
            </w:r>
            <w:r w:rsidRPr="004D6BEC">
              <w:rPr>
                <w:iCs/>
                <w:sz w:val="21"/>
                <w:szCs w:val="21"/>
              </w:rPr>
              <w:t>ngoing developments in Russian sanctions and the Russia-Ukr</w:t>
            </w:r>
            <w:r w:rsidRPr="004D6BEC">
              <w:rPr>
                <w:iCs/>
                <w:sz w:val="21"/>
                <w:szCs w:val="21"/>
              </w:rPr>
              <w:t>aine conflict.  Disclosure is generally required with respect to the material effects of Russian sanctions and the Russian-Ukraine conflict, if any, on the company.  The most likely and generally most important parts of the Form 10-</w:t>
            </w:r>
            <w:r w:rsidR="00C62219">
              <w:rPr>
                <w:iCs/>
                <w:sz w:val="21"/>
                <w:szCs w:val="21"/>
              </w:rPr>
              <w:t>K</w:t>
            </w:r>
            <w:r w:rsidRPr="004D6BEC">
              <w:rPr>
                <w:iCs/>
                <w:sz w:val="21"/>
                <w:szCs w:val="21"/>
              </w:rPr>
              <w:t xml:space="preserve"> to review for this dis</w:t>
            </w:r>
            <w:r w:rsidRPr="004D6BEC">
              <w:rPr>
                <w:iCs/>
                <w:sz w:val="21"/>
                <w:szCs w:val="21"/>
              </w:rPr>
              <w:t xml:space="preserve">closure are Risk Factors (Part </w:t>
            </w:r>
            <w:r w:rsidR="00C62219">
              <w:rPr>
                <w:iCs/>
                <w:sz w:val="21"/>
                <w:szCs w:val="21"/>
              </w:rPr>
              <w:t>1</w:t>
            </w:r>
            <w:r w:rsidRPr="004D6BEC">
              <w:rPr>
                <w:iCs/>
                <w:sz w:val="21"/>
                <w:szCs w:val="21"/>
              </w:rPr>
              <w:t>, Item 1A) and MD&amp;A (Part</w:t>
            </w:r>
            <w:r w:rsidR="00C62219">
              <w:rPr>
                <w:iCs/>
                <w:sz w:val="21"/>
                <w:szCs w:val="21"/>
              </w:rPr>
              <w:t xml:space="preserve"> II, Item 7</w:t>
            </w:r>
            <w:r w:rsidRPr="004D6BEC">
              <w:rPr>
                <w:iCs/>
                <w:sz w:val="21"/>
                <w:szCs w:val="21"/>
              </w:rPr>
              <w:t xml:space="preserve">).  Areas for potential disclosure include material impacts related to the items listed below.  </w:t>
            </w:r>
          </w:p>
          <w:p w14:paraId="65CFEE29" w14:textId="77777777" w:rsidR="0097739C" w:rsidRPr="004D6BEC" w:rsidRDefault="005B5528" w:rsidP="0097739C">
            <w:pPr>
              <w:pStyle w:val="BodyText"/>
              <w:numPr>
                <w:ilvl w:val="0"/>
                <w:numId w:val="43"/>
              </w:numPr>
              <w:spacing w:after="120"/>
              <w:rPr>
                <w:iCs/>
                <w:sz w:val="21"/>
                <w:szCs w:val="21"/>
              </w:rPr>
            </w:pPr>
            <w:r>
              <w:rPr>
                <w:iCs/>
                <w:sz w:val="21"/>
                <w:szCs w:val="21"/>
              </w:rPr>
              <w:t>Reduced R</w:t>
            </w:r>
            <w:r w:rsidRPr="004D6BEC">
              <w:rPr>
                <w:iCs/>
                <w:sz w:val="21"/>
                <w:szCs w:val="21"/>
              </w:rPr>
              <w:t>ussian energy exports;</w:t>
            </w:r>
          </w:p>
          <w:p w14:paraId="74F095D9" w14:textId="77777777" w:rsidR="0097739C" w:rsidRPr="004D6BEC" w:rsidRDefault="005B5528" w:rsidP="0097739C">
            <w:pPr>
              <w:pStyle w:val="BodyText"/>
              <w:numPr>
                <w:ilvl w:val="0"/>
                <w:numId w:val="43"/>
              </w:numPr>
              <w:spacing w:after="120"/>
              <w:rPr>
                <w:iCs/>
                <w:sz w:val="21"/>
                <w:szCs w:val="21"/>
              </w:rPr>
            </w:pPr>
            <w:r w:rsidRPr="004D6BEC">
              <w:rPr>
                <w:iCs/>
                <w:sz w:val="21"/>
                <w:szCs w:val="21"/>
              </w:rPr>
              <w:t>Russian sanctions impacts;</w:t>
            </w:r>
          </w:p>
          <w:p w14:paraId="4CB1A8CE" w14:textId="77777777" w:rsidR="0097739C" w:rsidRPr="004D6BEC" w:rsidRDefault="005B5528" w:rsidP="0097739C">
            <w:pPr>
              <w:pStyle w:val="BodyText"/>
              <w:numPr>
                <w:ilvl w:val="0"/>
                <w:numId w:val="43"/>
              </w:numPr>
              <w:spacing w:after="120"/>
              <w:rPr>
                <w:iCs/>
                <w:sz w:val="21"/>
                <w:szCs w:val="21"/>
              </w:rPr>
            </w:pPr>
            <w:r w:rsidRPr="004D6BEC">
              <w:rPr>
                <w:iCs/>
                <w:sz w:val="21"/>
                <w:szCs w:val="21"/>
              </w:rPr>
              <w:t xml:space="preserve">Impacts </w:t>
            </w:r>
            <w:r>
              <w:rPr>
                <w:iCs/>
                <w:sz w:val="21"/>
                <w:szCs w:val="21"/>
              </w:rPr>
              <w:t>of the war and sanctions</w:t>
            </w:r>
            <w:r>
              <w:rPr>
                <w:iCs/>
                <w:sz w:val="21"/>
                <w:szCs w:val="21"/>
              </w:rPr>
              <w:t xml:space="preserve"> </w:t>
            </w:r>
            <w:r w:rsidRPr="004D6BEC">
              <w:rPr>
                <w:iCs/>
                <w:sz w:val="21"/>
                <w:szCs w:val="21"/>
              </w:rPr>
              <w:t>on business operations in Russia</w:t>
            </w:r>
            <w:r>
              <w:rPr>
                <w:iCs/>
                <w:sz w:val="21"/>
                <w:szCs w:val="21"/>
              </w:rPr>
              <w:t xml:space="preserve">, </w:t>
            </w:r>
            <w:r w:rsidRPr="004D6BEC">
              <w:rPr>
                <w:iCs/>
                <w:sz w:val="21"/>
                <w:szCs w:val="21"/>
              </w:rPr>
              <w:t>Ukraine</w:t>
            </w:r>
            <w:r>
              <w:rPr>
                <w:iCs/>
                <w:sz w:val="21"/>
                <w:szCs w:val="21"/>
              </w:rPr>
              <w:t xml:space="preserve"> and surrounding areas</w:t>
            </w:r>
            <w:r w:rsidRPr="004D6BEC">
              <w:rPr>
                <w:iCs/>
                <w:sz w:val="21"/>
                <w:szCs w:val="21"/>
              </w:rPr>
              <w:t>;</w:t>
            </w:r>
          </w:p>
          <w:p w14:paraId="56A5D428" w14:textId="77777777" w:rsidR="0097739C" w:rsidRPr="004D6BEC" w:rsidRDefault="005B5528" w:rsidP="0097739C">
            <w:pPr>
              <w:pStyle w:val="BodyText"/>
              <w:numPr>
                <w:ilvl w:val="0"/>
                <w:numId w:val="43"/>
              </w:numPr>
              <w:spacing w:after="120"/>
              <w:rPr>
                <w:iCs/>
                <w:sz w:val="21"/>
                <w:szCs w:val="21"/>
              </w:rPr>
            </w:pPr>
            <w:r w:rsidRPr="004D6BEC">
              <w:rPr>
                <w:iCs/>
                <w:sz w:val="21"/>
                <w:szCs w:val="21"/>
              </w:rPr>
              <w:t>Russian and/or Ukraine market and revenue impacts;</w:t>
            </w:r>
          </w:p>
          <w:p w14:paraId="32C8DCE5" w14:textId="77777777" w:rsidR="0097739C" w:rsidRPr="004D6BEC" w:rsidRDefault="005B5528" w:rsidP="0097739C">
            <w:pPr>
              <w:pStyle w:val="BodyText"/>
              <w:numPr>
                <w:ilvl w:val="0"/>
                <w:numId w:val="43"/>
              </w:numPr>
              <w:spacing w:after="120"/>
              <w:rPr>
                <w:iCs/>
                <w:sz w:val="21"/>
                <w:szCs w:val="21"/>
              </w:rPr>
            </w:pPr>
            <w:r w:rsidRPr="004D6BEC">
              <w:rPr>
                <w:iCs/>
                <w:sz w:val="21"/>
                <w:szCs w:val="21"/>
              </w:rPr>
              <w:t>Commodity/materials/supply chain/energy impacts;</w:t>
            </w:r>
          </w:p>
          <w:p w14:paraId="5ECF1947" w14:textId="77777777" w:rsidR="0097739C" w:rsidRPr="004D6BEC" w:rsidRDefault="005B5528" w:rsidP="0097739C">
            <w:pPr>
              <w:pStyle w:val="BodyText"/>
              <w:numPr>
                <w:ilvl w:val="0"/>
                <w:numId w:val="43"/>
              </w:numPr>
              <w:spacing w:after="120"/>
              <w:rPr>
                <w:iCs/>
                <w:sz w:val="21"/>
                <w:szCs w:val="21"/>
              </w:rPr>
            </w:pPr>
            <w:r w:rsidRPr="004D6BEC">
              <w:rPr>
                <w:iCs/>
                <w:sz w:val="21"/>
                <w:szCs w:val="21"/>
              </w:rPr>
              <w:t>Vendor/supplier impacts;</w:t>
            </w:r>
          </w:p>
          <w:p w14:paraId="4A099BB3" w14:textId="77777777" w:rsidR="0097739C" w:rsidRPr="004D6BEC" w:rsidRDefault="005B5528" w:rsidP="0097739C">
            <w:pPr>
              <w:pStyle w:val="BodyText"/>
              <w:numPr>
                <w:ilvl w:val="0"/>
                <w:numId w:val="43"/>
              </w:numPr>
              <w:spacing w:after="120"/>
              <w:rPr>
                <w:iCs/>
                <w:sz w:val="21"/>
                <w:szCs w:val="21"/>
              </w:rPr>
            </w:pPr>
            <w:r w:rsidRPr="004D6BEC">
              <w:rPr>
                <w:iCs/>
                <w:sz w:val="21"/>
                <w:szCs w:val="21"/>
              </w:rPr>
              <w:t>Outsourcing/staffing impacts;</w:t>
            </w:r>
          </w:p>
          <w:p w14:paraId="6DA6F2DF" w14:textId="77777777" w:rsidR="0097739C" w:rsidRPr="004D6BEC" w:rsidRDefault="005B5528" w:rsidP="0097739C">
            <w:pPr>
              <w:pStyle w:val="BodyText"/>
              <w:numPr>
                <w:ilvl w:val="0"/>
                <w:numId w:val="43"/>
              </w:numPr>
              <w:spacing w:after="120"/>
              <w:rPr>
                <w:iCs/>
                <w:sz w:val="21"/>
                <w:szCs w:val="21"/>
              </w:rPr>
            </w:pPr>
            <w:r w:rsidRPr="004D6BEC">
              <w:rPr>
                <w:iCs/>
                <w:sz w:val="21"/>
                <w:szCs w:val="21"/>
              </w:rPr>
              <w:t>Clinical trial impacts;</w:t>
            </w:r>
          </w:p>
          <w:p w14:paraId="38C054D7" w14:textId="77777777" w:rsidR="0097739C" w:rsidRPr="004D6BEC" w:rsidRDefault="005B5528" w:rsidP="0097739C">
            <w:pPr>
              <w:pStyle w:val="BodyText"/>
              <w:numPr>
                <w:ilvl w:val="0"/>
                <w:numId w:val="43"/>
              </w:numPr>
              <w:spacing w:after="120"/>
              <w:rPr>
                <w:iCs/>
                <w:sz w:val="21"/>
                <w:szCs w:val="21"/>
              </w:rPr>
            </w:pPr>
            <w:r w:rsidRPr="004D6BEC">
              <w:rPr>
                <w:iCs/>
                <w:sz w:val="21"/>
                <w:szCs w:val="21"/>
              </w:rPr>
              <w:t>Financial a</w:t>
            </w:r>
            <w:r w:rsidRPr="004D6BEC">
              <w:rPr>
                <w:iCs/>
                <w:sz w:val="21"/>
                <w:szCs w:val="21"/>
              </w:rPr>
              <w:t>ccounting impacts, including (for example) impairment of assets and control/consolidation issues;</w:t>
            </w:r>
          </w:p>
          <w:p w14:paraId="45839173" w14:textId="77777777" w:rsidR="0097739C" w:rsidRPr="004D6BEC" w:rsidRDefault="005B5528" w:rsidP="0097739C">
            <w:pPr>
              <w:pStyle w:val="BodyText"/>
              <w:numPr>
                <w:ilvl w:val="0"/>
                <w:numId w:val="43"/>
              </w:numPr>
              <w:spacing w:after="120"/>
              <w:rPr>
                <w:iCs/>
                <w:sz w:val="21"/>
                <w:szCs w:val="21"/>
              </w:rPr>
            </w:pPr>
            <w:r w:rsidRPr="004D6BEC">
              <w:rPr>
                <w:iCs/>
                <w:sz w:val="21"/>
                <w:szCs w:val="21"/>
              </w:rPr>
              <w:t xml:space="preserve">Credit and financial market impacts; and </w:t>
            </w:r>
          </w:p>
          <w:p w14:paraId="636FBE58" w14:textId="77777777" w:rsidR="0097739C" w:rsidRPr="004D6BEC" w:rsidRDefault="005B5528" w:rsidP="0097739C">
            <w:pPr>
              <w:pStyle w:val="BodyText"/>
              <w:numPr>
                <w:ilvl w:val="0"/>
                <w:numId w:val="43"/>
              </w:numPr>
              <w:spacing w:after="120"/>
              <w:rPr>
                <w:iCs/>
                <w:sz w:val="21"/>
                <w:szCs w:val="21"/>
              </w:rPr>
            </w:pPr>
            <w:r w:rsidRPr="004D6BEC">
              <w:rPr>
                <w:iCs/>
                <w:sz w:val="21"/>
                <w:szCs w:val="21"/>
              </w:rPr>
              <w:t>Global economic conditions and uncertainties.</w:t>
            </w:r>
          </w:p>
          <w:p w14:paraId="50E62071" w14:textId="77777777" w:rsidR="0097739C" w:rsidRDefault="005B5528" w:rsidP="0079703E">
            <w:pPr>
              <w:pStyle w:val="BodyText"/>
              <w:ind w:left="360"/>
              <w:rPr>
                <w:rFonts w:cs="Calibri"/>
                <w:sz w:val="21"/>
                <w:szCs w:val="21"/>
              </w:rPr>
            </w:pPr>
            <w:r w:rsidRPr="004D6BEC">
              <w:rPr>
                <w:rFonts w:cs="Calibri"/>
                <w:sz w:val="21"/>
                <w:szCs w:val="21"/>
              </w:rPr>
              <w:t>In addition, note that Russian sanctions and the Russia-Ukraine confli</w:t>
            </w:r>
            <w:r w:rsidRPr="004D6BEC">
              <w:rPr>
                <w:rFonts w:cs="Calibri"/>
                <w:sz w:val="21"/>
                <w:szCs w:val="21"/>
              </w:rPr>
              <w:t>ct may contribute to several of the factors listed under Inflation and Rising Interest Rates, discussed above, including increased energy costs, supply chain disruptions and operating expense inflation impacts.</w:t>
            </w:r>
          </w:p>
          <w:p w14:paraId="27776D2A" w14:textId="77777777" w:rsidR="0055673F" w:rsidRPr="004D6BEC" w:rsidRDefault="005B5528" w:rsidP="0079703E">
            <w:pPr>
              <w:pStyle w:val="BodyText"/>
              <w:ind w:left="360"/>
              <w:rPr>
                <w:iCs/>
                <w:szCs w:val="24"/>
              </w:rPr>
            </w:pPr>
            <w:r>
              <w:rPr>
                <w:rFonts w:cs="Calibri"/>
                <w:sz w:val="21"/>
                <w:szCs w:val="21"/>
              </w:rPr>
              <w:t xml:space="preserve">Lastly, the SEC Staff published </w:t>
            </w:r>
            <w:hyperlink r:id="rId22" w:history="1">
              <w:r w:rsidRPr="0055673F">
                <w:rPr>
                  <w:rStyle w:val="Hyperlink"/>
                  <w:rFonts w:cs="Calibri"/>
                  <w:sz w:val="21"/>
                  <w:szCs w:val="21"/>
                </w:rPr>
                <w:t>a sample comment letter</w:t>
              </w:r>
            </w:hyperlink>
            <w:r>
              <w:rPr>
                <w:rFonts w:cs="Calibri"/>
                <w:sz w:val="21"/>
                <w:szCs w:val="21"/>
              </w:rPr>
              <w:t xml:space="preserve"> on Russia-Ukraine disclosure issues on May 3, 2022 containing </w:t>
            </w:r>
            <w:r w:rsidRPr="0055673F">
              <w:rPr>
                <w:rFonts w:cs="Calibri"/>
                <w:sz w:val="21"/>
                <w:szCs w:val="21"/>
              </w:rPr>
              <w:t xml:space="preserve">sample comments that the Division </w:t>
            </w:r>
            <w:r>
              <w:rPr>
                <w:rFonts w:cs="Calibri"/>
                <w:sz w:val="21"/>
                <w:szCs w:val="21"/>
              </w:rPr>
              <w:t xml:space="preserve">of Corporation Finance </w:t>
            </w:r>
            <w:r w:rsidRPr="0055673F">
              <w:rPr>
                <w:rFonts w:cs="Calibri"/>
                <w:sz w:val="21"/>
                <w:szCs w:val="21"/>
              </w:rPr>
              <w:t>may issue to companies based on the</w:t>
            </w:r>
            <w:r w:rsidRPr="0055673F">
              <w:rPr>
                <w:rFonts w:cs="Calibri"/>
                <w:sz w:val="21"/>
                <w:szCs w:val="21"/>
              </w:rPr>
              <w:t>ir specific facts and circumstances</w:t>
            </w:r>
            <w:r>
              <w:rPr>
                <w:rFonts w:cs="Calibri"/>
                <w:sz w:val="21"/>
                <w:szCs w:val="21"/>
              </w:rPr>
              <w:t xml:space="preserve">. </w:t>
            </w:r>
          </w:p>
        </w:tc>
      </w:tr>
      <w:tr w:rsidR="00000000" w14:paraId="4670731A" w14:textId="77777777" w:rsidTr="0079703E">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auto"/>
          </w:tcPr>
          <w:p w14:paraId="3ECFCFA8" w14:textId="77777777" w:rsidR="0097739C" w:rsidRPr="004D6BEC" w:rsidRDefault="005B5528" w:rsidP="0079703E">
            <w:pPr>
              <w:spacing w:after="120"/>
              <w:rPr>
                <w:rFonts w:cs="Calibri"/>
                <w:b/>
                <w:bCs/>
              </w:rPr>
            </w:pPr>
            <w:r w:rsidRPr="004D6BEC">
              <w:rPr>
                <w:rFonts w:cs="Calibri"/>
                <w:b/>
                <w:bCs/>
              </w:rPr>
              <w:lastRenderedPageBreak/>
              <w:t>COVID-19 Pandemic</w:t>
            </w:r>
            <w:r w:rsidR="00C62219">
              <w:rPr>
                <w:rFonts w:cs="Calibri"/>
                <w:b/>
                <w:bCs/>
              </w:rPr>
              <w:t xml:space="preserve"> and Related Public Health Issues</w:t>
            </w:r>
          </w:p>
          <w:p w14:paraId="455E439C" w14:textId="77777777" w:rsidR="0097739C" w:rsidRPr="004D6BEC" w:rsidRDefault="005B5528" w:rsidP="0079703E">
            <w:pPr>
              <w:spacing w:after="120"/>
              <w:rPr>
                <w:rFonts w:cs="Calibri"/>
              </w:rPr>
            </w:pPr>
            <w:r w:rsidRPr="004D6BEC">
              <w:rPr>
                <w:rFonts w:cs="Calibri"/>
              </w:rPr>
              <w:t>Review disclosures</w:t>
            </w:r>
            <w:r w:rsidR="00C62219">
              <w:rPr>
                <w:rFonts w:cs="Calibri"/>
              </w:rPr>
              <w:t xml:space="preserve"> about</w:t>
            </w:r>
            <w:r w:rsidRPr="004D6BEC">
              <w:rPr>
                <w:rFonts w:cs="Calibri"/>
              </w:rPr>
              <w:t xml:space="preserve"> </w:t>
            </w:r>
            <w:r w:rsidR="00C62219" w:rsidRPr="004D6BEC">
              <w:rPr>
                <w:rFonts w:cs="Calibri"/>
              </w:rPr>
              <w:t>COVID-19</w:t>
            </w:r>
            <w:r w:rsidR="00C62219">
              <w:rPr>
                <w:rFonts w:cs="Calibri"/>
              </w:rPr>
              <w:t xml:space="preserve"> and, if </w:t>
            </w:r>
            <w:r w:rsidR="00BF3B62">
              <w:rPr>
                <w:rFonts w:cs="Calibri"/>
              </w:rPr>
              <w:t xml:space="preserve">applicable, </w:t>
            </w:r>
            <w:r w:rsidR="00C62219">
              <w:rPr>
                <w:rFonts w:cs="Calibri"/>
              </w:rPr>
              <w:t xml:space="preserve">the seasonal flu </w:t>
            </w:r>
            <w:r w:rsidR="00BF3B62">
              <w:rPr>
                <w:rFonts w:cs="Calibri"/>
              </w:rPr>
              <w:t xml:space="preserve">and/or the respiratory syncytial virus (RSV), </w:t>
            </w:r>
            <w:r w:rsidRPr="004D6BEC">
              <w:rPr>
                <w:rFonts w:cs="Calibri"/>
              </w:rPr>
              <w:t>and confirm that these disclosures speak as of th</w:t>
            </w:r>
            <w:r w:rsidRPr="004D6BEC">
              <w:rPr>
                <w:rFonts w:cs="Calibri"/>
              </w:rPr>
              <w:t>e date of filing of the Form 10-</w:t>
            </w:r>
            <w:r w:rsidR="00C62219">
              <w:rPr>
                <w:rFonts w:cs="Calibri"/>
              </w:rPr>
              <w:t>K</w:t>
            </w:r>
            <w:r w:rsidRPr="004D6BEC">
              <w:rPr>
                <w:rFonts w:cs="Calibri"/>
              </w:rPr>
              <w:t xml:space="preserve">.  In particular, </w:t>
            </w:r>
            <w:r>
              <w:rPr>
                <w:rFonts w:cs="Calibri"/>
              </w:rPr>
              <w:t xml:space="preserve">changes in the nature and scope of the pandemic and changes in the responses of businesses, governments and individuals make it particularly important to </w:t>
            </w:r>
            <w:r w:rsidRPr="004D6BEC">
              <w:rPr>
                <w:rFonts w:cs="Calibri"/>
              </w:rPr>
              <w:t>review disclosure carried forward from earlier repo</w:t>
            </w:r>
            <w:r w:rsidRPr="004D6BEC">
              <w:rPr>
                <w:rFonts w:cs="Calibri"/>
              </w:rPr>
              <w:t xml:space="preserve">rts for current accuracy.  </w:t>
            </w:r>
            <w:r w:rsidR="00BF3B62">
              <w:rPr>
                <w:rFonts w:cs="Calibri"/>
              </w:rPr>
              <w:t>T</w:t>
            </w:r>
            <w:r w:rsidRPr="004D6BEC">
              <w:rPr>
                <w:rFonts w:cs="Calibri"/>
              </w:rPr>
              <w:t>opics</w:t>
            </w:r>
            <w:r w:rsidRPr="004D6BEC">
              <w:rPr>
                <w:rFonts w:cs="Calibri"/>
                <w:b/>
                <w:bCs/>
              </w:rPr>
              <w:t xml:space="preserve"> </w:t>
            </w:r>
            <w:r w:rsidRPr="004D6BEC">
              <w:rPr>
                <w:rFonts w:cs="Calibri"/>
              </w:rPr>
              <w:t xml:space="preserve">for potential </w:t>
            </w:r>
            <w:r w:rsidR="00BF3B62">
              <w:rPr>
                <w:rFonts w:cs="Calibri"/>
              </w:rPr>
              <w:t>disclosure</w:t>
            </w:r>
            <w:r w:rsidRPr="004D6BEC">
              <w:rPr>
                <w:rFonts w:cs="Calibri"/>
              </w:rPr>
              <w:t xml:space="preserve"> include, among others:</w:t>
            </w:r>
          </w:p>
          <w:p w14:paraId="4C54A0DF" w14:textId="77777777" w:rsidR="0097739C" w:rsidRPr="004D6BEC" w:rsidRDefault="005B5528" w:rsidP="0097739C">
            <w:pPr>
              <w:pStyle w:val="BodyText"/>
              <w:numPr>
                <w:ilvl w:val="0"/>
                <w:numId w:val="43"/>
              </w:numPr>
              <w:spacing w:after="120"/>
              <w:rPr>
                <w:iCs/>
                <w:szCs w:val="24"/>
              </w:rPr>
            </w:pPr>
            <w:r w:rsidRPr="004D6BEC">
              <w:rPr>
                <w:iCs/>
                <w:szCs w:val="24"/>
              </w:rPr>
              <w:t>impact of subvariants and other SARS-CoV-2 viruses;</w:t>
            </w:r>
          </w:p>
          <w:p w14:paraId="65AC65BF" w14:textId="77777777" w:rsidR="0097739C" w:rsidRPr="004D6BEC" w:rsidRDefault="005B5528" w:rsidP="0097739C">
            <w:pPr>
              <w:pStyle w:val="BodyText"/>
              <w:numPr>
                <w:ilvl w:val="0"/>
                <w:numId w:val="43"/>
              </w:numPr>
              <w:spacing w:after="120"/>
              <w:rPr>
                <w:iCs/>
                <w:szCs w:val="24"/>
              </w:rPr>
            </w:pPr>
            <w:r w:rsidRPr="004D6BEC">
              <w:rPr>
                <w:iCs/>
                <w:szCs w:val="24"/>
              </w:rPr>
              <w:t>the company’s current responses</w:t>
            </w:r>
            <w:r>
              <w:rPr>
                <w:iCs/>
                <w:szCs w:val="24"/>
              </w:rPr>
              <w:t xml:space="preserve"> and/or changes in its prior responses</w:t>
            </w:r>
            <w:r w:rsidRPr="004D6BEC">
              <w:rPr>
                <w:iCs/>
                <w:szCs w:val="24"/>
              </w:rPr>
              <w:t xml:space="preserve"> to </w:t>
            </w:r>
            <w:r>
              <w:rPr>
                <w:iCs/>
                <w:szCs w:val="24"/>
              </w:rPr>
              <w:t>the pandemic</w:t>
            </w:r>
            <w:r w:rsidRPr="004D6BEC">
              <w:rPr>
                <w:iCs/>
                <w:szCs w:val="24"/>
              </w:rPr>
              <w:t xml:space="preserve">; </w:t>
            </w:r>
          </w:p>
          <w:p w14:paraId="21C84F51" w14:textId="77777777" w:rsidR="0097739C" w:rsidRPr="004D6BEC" w:rsidRDefault="005B5528" w:rsidP="0097739C">
            <w:pPr>
              <w:pStyle w:val="BodyText"/>
              <w:numPr>
                <w:ilvl w:val="0"/>
                <w:numId w:val="43"/>
              </w:numPr>
              <w:spacing w:after="120"/>
              <w:rPr>
                <w:iCs/>
                <w:szCs w:val="24"/>
              </w:rPr>
            </w:pPr>
            <w:r w:rsidRPr="004D6BEC">
              <w:rPr>
                <w:rFonts w:cs="Calibri"/>
              </w:rPr>
              <w:t xml:space="preserve">discussion of </w:t>
            </w:r>
            <w:r w:rsidRPr="004D6BEC">
              <w:rPr>
                <w:iCs/>
                <w:szCs w:val="24"/>
              </w:rPr>
              <w:t>changes in responses</w:t>
            </w:r>
            <w:r w:rsidRPr="004D6BEC">
              <w:rPr>
                <w:iCs/>
                <w:szCs w:val="24"/>
              </w:rPr>
              <w:t xml:space="preserve"> by businesses and state and local governmental authorities; </w:t>
            </w:r>
          </w:p>
          <w:p w14:paraId="1C97A4BA" w14:textId="77777777" w:rsidR="0097739C" w:rsidRPr="004D6BEC" w:rsidRDefault="005B5528" w:rsidP="0097739C">
            <w:pPr>
              <w:pStyle w:val="BodyText"/>
              <w:numPr>
                <w:ilvl w:val="0"/>
                <w:numId w:val="43"/>
              </w:numPr>
              <w:spacing w:after="120"/>
              <w:rPr>
                <w:iCs/>
                <w:szCs w:val="24"/>
              </w:rPr>
            </w:pPr>
            <w:r w:rsidRPr="004D6BEC">
              <w:rPr>
                <w:iCs/>
                <w:szCs w:val="24"/>
              </w:rPr>
              <w:t>plateaued or stagnant booster rates; and</w:t>
            </w:r>
          </w:p>
          <w:p w14:paraId="0097464C" w14:textId="77777777" w:rsidR="0097739C" w:rsidRPr="004D6BEC" w:rsidRDefault="005B5528" w:rsidP="0097739C">
            <w:pPr>
              <w:pStyle w:val="BodyText"/>
              <w:numPr>
                <w:ilvl w:val="0"/>
                <w:numId w:val="43"/>
              </w:numPr>
              <w:spacing w:after="120"/>
              <w:rPr>
                <w:iCs/>
                <w:szCs w:val="24"/>
              </w:rPr>
            </w:pPr>
            <w:r w:rsidRPr="004D6BEC">
              <w:rPr>
                <w:iCs/>
                <w:szCs w:val="24"/>
              </w:rPr>
              <w:t>continuing and potential future</w:t>
            </w:r>
            <w:r w:rsidRPr="004D6BEC">
              <w:rPr>
                <w:rFonts w:cs="Calibri"/>
              </w:rPr>
              <w:t xml:space="preserve"> impacts such as supply chain/distribution constraints, among others.</w:t>
            </w:r>
          </w:p>
        </w:tc>
      </w:tr>
      <w:tr w:rsidR="00000000" w14:paraId="41A7A094" w14:textId="77777777" w:rsidTr="0079703E">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auto"/>
          </w:tcPr>
          <w:p w14:paraId="62FC8DB4" w14:textId="77777777" w:rsidR="0097739C" w:rsidRPr="004D6BEC" w:rsidRDefault="005B5528" w:rsidP="0079703E">
            <w:pPr>
              <w:spacing w:after="120"/>
              <w:rPr>
                <w:rFonts w:cs="Calibri"/>
              </w:rPr>
            </w:pPr>
            <w:r w:rsidRPr="004D6BEC">
              <w:rPr>
                <w:rFonts w:cs="Calibri"/>
                <w:b/>
                <w:bCs/>
              </w:rPr>
              <w:t>Environmental, Social &amp; Governance (ESG) Matters</w:t>
            </w:r>
          </w:p>
          <w:p w14:paraId="0DD50EDB" w14:textId="77777777" w:rsidR="0097739C" w:rsidRPr="004D6BEC" w:rsidRDefault="005B5528" w:rsidP="0079703E">
            <w:pPr>
              <w:pStyle w:val="BodyText"/>
              <w:ind w:left="360"/>
              <w:rPr>
                <w:iCs/>
                <w:szCs w:val="24"/>
              </w:rPr>
            </w:pPr>
            <w:r w:rsidRPr="004D6BEC">
              <w:rPr>
                <w:rFonts w:cs="Calibri"/>
              </w:rPr>
              <w:t>ES</w:t>
            </w:r>
            <w:r w:rsidRPr="004D6BEC">
              <w:rPr>
                <w:rFonts w:cs="Calibri"/>
              </w:rPr>
              <w:t xml:space="preserve">G disclosures are often taken from the company’s ESG and sustainability reports that may be driven more by marketing or investor relations considerations than legal or financial considerations.  </w:t>
            </w:r>
            <w:r w:rsidR="00BF3B62">
              <w:rPr>
                <w:rFonts w:cs="Calibri"/>
              </w:rPr>
              <w:t>I</w:t>
            </w:r>
            <w:r w:rsidRPr="004D6BEC">
              <w:rPr>
                <w:rFonts w:cs="Calibri"/>
              </w:rPr>
              <w:t>t is very important to make sure that any ESG disclosures in</w:t>
            </w:r>
            <w:r w:rsidRPr="004D6BEC">
              <w:rPr>
                <w:rFonts w:cs="Calibri"/>
              </w:rPr>
              <w:t xml:space="preserve"> </w:t>
            </w:r>
            <w:r w:rsidR="00BF3B62">
              <w:rPr>
                <w:rFonts w:cs="Calibri"/>
              </w:rPr>
              <w:t>the company’s</w:t>
            </w:r>
            <w:r w:rsidRPr="004D6BEC">
              <w:rPr>
                <w:rFonts w:cs="Calibri"/>
              </w:rPr>
              <w:t xml:space="preserve"> Form 10-</w:t>
            </w:r>
            <w:r w:rsidR="00BF3B62">
              <w:rPr>
                <w:rFonts w:cs="Calibri"/>
              </w:rPr>
              <w:t>K</w:t>
            </w:r>
            <w:r w:rsidRPr="004D6BEC">
              <w:rPr>
                <w:rFonts w:cs="Calibri"/>
              </w:rPr>
              <w:t xml:space="preserve"> </w:t>
            </w:r>
            <w:r w:rsidR="00BF3B62">
              <w:rPr>
                <w:rFonts w:cs="Calibri"/>
              </w:rPr>
              <w:t xml:space="preserve">report </w:t>
            </w:r>
            <w:r w:rsidRPr="004D6BEC">
              <w:rPr>
                <w:rFonts w:cs="Calibri"/>
              </w:rPr>
              <w:t xml:space="preserve">are appropriate, and appropriately worded, for an SEC filing.  This may cause the company to revise or eliminate certain phrases or sentences so they are more aspirational in nature and/or backed up by reliably attributable </w:t>
            </w:r>
            <w:r w:rsidRPr="004D6BEC">
              <w:rPr>
                <w:rFonts w:cs="Calibri"/>
              </w:rPr>
              <w:t>data.  The SEC has been particularly focused on climate change</w:t>
            </w:r>
            <w:r>
              <w:rPr>
                <w:rFonts w:cs="Calibri"/>
              </w:rPr>
              <w:t xml:space="preserve">.  On </w:t>
            </w:r>
            <w:r w:rsidRPr="004D6BEC">
              <w:rPr>
                <w:rFonts w:cs="Calibri"/>
              </w:rPr>
              <w:t>September 22, 2021, the Staff of the Division of Corporation Finance published a </w:t>
            </w:r>
            <w:hyperlink r:id="rId23" w:history="1">
              <w:r w:rsidRPr="004D6BEC">
                <w:rPr>
                  <w:rStyle w:val="Hyperlink"/>
                  <w:rFonts w:cs="Calibri"/>
                </w:rPr>
                <w:t>sample comment letter</w:t>
              </w:r>
            </w:hyperlink>
            <w:r w:rsidRPr="004D6BEC">
              <w:rPr>
                <w:rFonts w:cs="Calibri"/>
              </w:rPr>
              <w:t xml:space="preserve"> on climate change disclosures that you may want to consider in reviewing the 10-</w:t>
            </w:r>
            <w:r w:rsidR="00563B0B">
              <w:rPr>
                <w:rFonts w:cs="Calibri"/>
              </w:rPr>
              <w:t>K</w:t>
            </w:r>
            <w:r w:rsidRPr="004D6BEC">
              <w:rPr>
                <w:rFonts w:cs="Calibri"/>
              </w:rPr>
              <w:t>.  On March 21, 2022, the SEC proposed new disclosure requirements on climate-related risks, governance, metrics and financial stateme</w:t>
            </w:r>
            <w:r w:rsidRPr="004D6BEC">
              <w:rPr>
                <w:rFonts w:cs="Calibri"/>
              </w:rPr>
              <w:t xml:space="preserve">nt impacts.  See </w:t>
            </w:r>
            <w:hyperlink r:id="rId24" w:history="1">
              <w:r w:rsidRPr="004D6BEC">
                <w:rPr>
                  <w:rStyle w:val="Hyperlink"/>
                  <w:rFonts w:cs="Calibri"/>
                </w:rPr>
                <w:t>The Enhancement and Standardization of Climate-Related Disclosures for Investors</w:t>
              </w:r>
            </w:hyperlink>
            <w:r w:rsidRPr="004D6BEC">
              <w:rPr>
                <w:rFonts w:cs="Calibri"/>
              </w:rPr>
              <w:t xml:space="preserve"> (Release Nos. 33-11042; 34-94478).</w:t>
            </w:r>
          </w:p>
        </w:tc>
      </w:tr>
      <w:tr w:rsidR="00000000" w14:paraId="3CE52B82" w14:textId="77777777" w:rsidTr="006D5F83">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auto"/>
          </w:tcPr>
          <w:p w14:paraId="56C8305F" w14:textId="77777777" w:rsidR="00771086" w:rsidRPr="00DB5740" w:rsidRDefault="005B5528" w:rsidP="00771086">
            <w:pPr>
              <w:autoSpaceDE w:val="0"/>
              <w:autoSpaceDN w:val="0"/>
              <w:adjustRightInd w:val="0"/>
              <w:spacing w:after="240"/>
              <w:rPr>
                <w:b/>
                <w:bCs/>
                <w:iCs/>
                <w:smallCaps/>
                <w:color w:val="000000"/>
                <w:sz w:val="26"/>
                <w:szCs w:val="26"/>
              </w:rPr>
            </w:pPr>
            <w:r w:rsidRPr="00DB5740">
              <w:rPr>
                <w:b/>
                <w:bCs/>
                <w:iCs/>
                <w:smallCaps/>
                <w:color w:val="000000"/>
                <w:sz w:val="26"/>
                <w:szCs w:val="26"/>
                <w:u w:val="single"/>
              </w:rPr>
              <w:lastRenderedPageBreak/>
              <w:t>Form </w:t>
            </w:r>
            <w:r>
              <w:rPr>
                <w:b/>
                <w:bCs/>
                <w:iCs/>
                <w:smallCaps/>
                <w:color w:val="000000"/>
                <w:sz w:val="26"/>
                <w:szCs w:val="26"/>
                <w:u w:val="single"/>
              </w:rPr>
              <w:t>10</w:t>
            </w:r>
            <w:r>
              <w:rPr>
                <w:b/>
                <w:bCs/>
                <w:iCs/>
                <w:smallCaps/>
                <w:color w:val="000000"/>
                <w:sz w:val="26"/>
                <w:szCs w:val="26"/>
                <w:u w:val="single"/>
              </w:rPr>
              <w:noBreakHyphen/>
              <w:t>K</w:t>
            </w:r>
            <w:r w:rsidRPr="00DB5740">
              <w:rPr>
                <w:b/>
                <w:bCs/>
                <w:iCs/>
                <w:smallCaps/>
                <w:color w:val="000000"/>
                <w:sz w:val="26"/>
                <w:szCs w:val="26"/>
                <w:u w:val="single"/>
              </w:rPr>
              <w:t>/10</w:t>
            </w:r>
            <w:r w:rsidRPr="00DB5740">
              <w:rPr>
                <w:b/>
                <w:bCs/>
                <w:iCs/>
                <w:smallCaps/>
                <w:color w:val="000000"/>
                <w:sz w:val="26"/>
                <w:szCs w:val="26"/>
                <w:u w:val="single"/>
              </w:rPr>
              <w:noBreakHyphen/>
              <w:t>Q Filing Deadlines for Year Ended Decem</w:t>
            </w:r>
            <w:r w:rsidRPr="00DB5740">
              <w:rPr>
                <w:b/>
                <w:bCs/>
                <w:iCs/>
                <w:smallCaps/>
                <w:color w:val="000000"/>
                <w:sz w:val="26"/>
                <w:szCs w:val="26"/>
                <w:u w:val="single"/>
              </w:rPr>
              <w:t xml:space="preserve">ber 31, </w:t>
            </w:r>
            <w:r>
              <w:rPr>
                <w:b/>
                <w:bCs/>
                <w:iCs/>
                <w:smallCaps/>
                <w:color w:val="000000"/>
                <w:sz w:val="26"/>
                <w:szCs w:val="26"/>
                <w:u w:val="single"/>
              </w:rPr>
              <w:t>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bottom w:w="115" w:type="dxa"/>
                <w:right w:w="72" w:type="dxa"/>
              </w:tblCellMar>
              <w:tblLook w:val="04A0" w:firstRow="1" w:lastRow="0" w:firstColumn="1" w:lastColumn="0" w:noHBand="0" w:noVBand="1"/>
            </w:tblPr>
            <w:tblGrid>
              <w:gridCol w:w="4155"/>
              <w:gridCol w:w="3960"/>
              <w:gridCol w:w="3325"/>
              <w:gridCol w:w="2021"/>
            </w:tblGrid>
            <w:tr w:rsidR="00000000" w14:paraId="0ED5078F" w14:textId="77777777" w:rsidTr="00D352C8">
              <w:tc>
                <w:tcPr>
                  <w:tcW w:w="4155" w:type="dxa"/>
                  <w:tcBorders>
                    <w:top w:val="nil"/>
                    <w:left w:val="nil"/>
                    <w:bottom w:val="nil"/>
                    <w:right w:val="nil"/>
                  </w:tcBorders>
                  <w:shd w:val="clear" w:color="auto" w:fill="auto"/>
                </w:tcPr>
                <w:p w14:paraId="58F487D9" w14:textId="77777777" w:rsidR="00771086" w:rsidRPr="00DB5740" w:rsidRDefault="00771086" w:rsidP="00771086">
                  <w:pPr>
                    <w:tabs>
                      <w:tab w:val="left" w:pos="6291"/>
                      <w:tab w:val="left" w:pos="8091"/>
                      <w:tab w:val="left" w:pos="9291"/>
                      <w:tab w:val="left" w:pos="11211"/>
                    </w:tabs>
                    <w:autoSpaceDE w:val="0"/>
                    <w:autoSpaceDN w:val="0"/>
                    <w:adjustRightInd w:val="0"/>
                    <w:rPr>
                      <w:szCs w:val="16"/>
                    </w:rPr>
                  </w:pPr>
                </w:p>
              </w:tc>
              <w:tc>
                <w:tcPr>
                  <w:tcW w:w="3960" w:type="dxa"/>
                  <w:tcBorders>
                    <w:top w:val="nil"/>
                    <w:left w:val="nil"/>
                    <w:bottom w:val="nil"/>
                    <w:right w:val="nil"/>
                  </w:tcBorders>
                  <w:shd w:val="clear" w:color="auto" w:fill="auto"/>
                  <w:vAlign w:val="bottom"/>
                </w:tcPr>
                <w:p w14:paraId="380C79C8" w14:textId="77777777" w:rsidR="00771086" w:rsidRPr="00DB5740" w:rsidRDefault="005B5528" w:rsidP="00771086">
                  <w:pPr>
                    <w:tabs>
                      <w:tab w:val="left" w:pos="6291"/>
                      <w:tab w:val="left" w:pos="8091"/>
                      <w:tab w:val="left" w:pos="9291"/>
                      <w:tab w:val="left" w:pos="11211"/>
                    </w:tabs>
                    <w:autoSpaceDE w:val="0"/>
                    <w:autoSpaceDN w:val="0"/>
                    <w:adjustRightInd w:val="0"/>
                    <w:jc w:val="center"/>
                    <w:rPr>
                      <w:szCs w:val="16"/>
                    </w:rPr>
                  </w:pPr>
                  <w:r w:rsidRPr="00DB5740">
                    <w:rPr>
                      <w:b/>
                      <w:szCs w:val="16"/>
                      <w:u w:val="single"/>
                    </w:rPr>
                    <w:t>Form </w:t>
                  </w:r>
                  <w:r>
                    <w:rPr>
                      <w:b/>
                      <w:szCs w:val="16"/>
                      <w:u w:val="single"/>
                    </w:rPr>
                    <w:t>10</w:t>
                  </w:r>
                  <w:r>
                    <w:rPr>
                      <w:b/>
                      <w:szCs w:val="16"/>
                      <w:u w:val="single"/>
                    </w:rPr>
                    <w:noBreakHyphen/>
                    <w:t>K</w:t>
                  </w:r>
                </w:p>
              </w:tc>
              <w:tc>
                <w:tcPr>
                  <w:tcW w:w="3325" w:type="dxa"/>
                  <w:tcBorders>
                    <w:top w:val="nil"/>
                    <w:left w:val="nil"/>
                    <w:bottom w:val="nil"/>
                    <w:right w:val="nil"/>
                  </w:tcBorders>
                  <w:shd w:val="clear" w:color="auto" w:fill="auto"/>
                  <w:vAlign w:val="bottom"/>
                </w:tcPr>
                <w:p w14:paraId="51A8C15A" w14:textId="77777777" w:rsidR="00771086" w:rsidRPr="00DB5740" w:rsidRDefault="005B5528" w:rsidP="00771086">
                  <w:pPr>
                    <w:tabs>
                      <w:tab w:val="left" w:pos="6291"/>
                      <w:tab w:val="left" w:pos="8091"/>
                      <w:tab w:val="left" w:pos="9291"/>
                      <w:tab w:val="left" w:pos="11211"/>
                    </w:tabs>
                    <w:autoSpaceDE w:val="0"/>
                    <w:autoSpaceDN w:val="0"/>
                    <w:adjustRightInd w:val="0"/>
                    <w:jc w:val="center"/>
                    <w:rPr>
                      <w:szCs w:val="16"/>
                    </w:rPr>
                  </w:pPr>
                  <w:r w:rsidRPr="00DB5740">
                    <w:rPr>
                      <w:b/>
                      <w:szCs w:val="16"/>
                      <w:u w:val="single"/>
                    </w:rPr>
                    <w:t>Subsequent Form 10</w:t>
                  </w:r>
                  <w:r w:rsidRPr="00DB5740">
                    <w:rPr>
                      <w:b/>
                      <w:szCs w:val="16"/>
                      <w:u w:val="single"/>
                    </w:rPr>
                    <w:noBreakHyphen/>
                    <w:t>Qs</w:t>
                  </w:r>
                </w:p>
              </w:tc>
              <w:tc>
                <w:tcPr>
                  <w:tcW w:w="2021" w:type="dxa"/>
                  <w:tcBorders>
                    <w:top w:val="nil"/>
                    <w:left w:val="nil"/>
                    <w:bottom w:val="nil"/>
                    <w:right w:val="nil"/>
                  </w:tcBorders>
                  <w:shd w:val="clear" w:color="auto" w:fill="auto"/>
                  <w:vAlign w:val="bottom"/>
                </w:tcPr>
                <w:p w14:paraId="520E6F6A" w14:textId="77777777" w:rsidR="00771086" w:rsidRPr="00DB5740" w:rsidRDefault="005B5528" w:rsidP="00771086">
                  <w:pPr>
                    <w:tabs>
                      <w:tab w:val="left" w:pos="6291"/>
                      <w:tab w:val="left" w:pos="8091"/>
                      <w:tab w:val="left" w:pos="9291"/>
                      <w:tab w:val="left" w:pos="11211"/>
                    </w:tabs>
                    <w:autoSpaceDE w:val="0"/>
                    <w:autoSpaceDN w:val="0"/>
                    <w:adjustRightInd w:val="0"/>
                    <w:jc w:val="center"/>
                    <w:rPr>
                      <w:szCs w:val="16"/>
                    </w:rPr>
                  </w:pPr>
                  <w:r w:rsidRPr="00DB5740">
                    <w:rPr>
                      <w:b/>
                      <w:szCs w:val="16"/>
                    </w:rPr>
                    <w:t>Section 404</w:t>
                  </w:r>
                  <w:r w:rsidRPr="00DB5740">
                    <w:rPr>
                      <w:b/>
                      <w:szCs w:val="16"/>
                      <w:u w:val="single"/>
                    </w:rPr>
                    <w:t xml:space="preserve"> Compliance</w:t>
                  </w:r>
                </w:p>
              </w:tc>
            </w:tr>
            <w:tr w:rsidR="00000000" w14:paraId="4048A6B4" w14:textId="77777777" w:rsidTr="00D352C8">
              <w:tc>
                <w:tcPr>
                  <w:tcW w:w="4155" w:type="dxa"/>
                  <w:tcBorders>
                    <w:top w:val="nil"/>
                    <w:left w:val="nil"/>
                    <w:bottom w:val="nil"/>
                    <w:right w:val="nil"/>
                  </w:tcBorders>
                  <w:shd w:val="clear" w:color="auto" w:fill="auto"/>
                </w:tcPr>
                <w:p w14:paraId="1D8FA875" w14:textId="77777777" w:rsidR="00771086" w:rsidRPr="00DB5740" w:rsidRDefault="005B5528" w:rsidP="00771086">
                  <w:pPr>
                    <w:tabs>
                      <w:tab w:val="left" w:pos="6291"/>
                      <w:tab w:val="left" w:pos="8091"/>
                      <w:tab w:val="left" w:pos="9291"/>
                      <w:tab w:val="left" w:pos="11211"/>
                    </w:tabs>
                    <w:autoSpaceDE w:val="0"/>
                    <w:autoSpaceDN w:val="0"/>
                    <w:adjustRightInd w:val="0"/>
                    <w:rPr>
                      <w:szCs w:val="16"/>
                    </w:rPr>
                  </w:pPr>
                  <w:r w:rsidRPr="00DB5740">
                    <w:rPr>
                      <w:b/>
                      <w:szCs w:val="16"/>
                    </w:rPr>
                    <w:t>Large Accelerated Filers*</w:t>
                  </w:r>
                  <w:r w:rsidRPr="00DB5740">
                    <w:rPr>
                      <w:szCs w:val="16"/>
                    </w:rPr>
                    <w:t xml:space="preserve"> </w:t>
                  </w:r>
                </w:p>
                <w:p w14:paraId="2B3E4A20" w14:textId="77777777" w:rsidR="00771086" w:rsidRPr="00DB5740" w:rsidRDefault="005B5528" w:rsidP="00771086">
                  <w:pPr>
                    <w:tabs>
                      <w:tab w:val="left" w:pos="6291"/>
                      <w:tab w:val="left" w:pos="8091"/>
                      <w:tab w:val="left" w:pos="9291"/>
                      <w:tab w:val="left" w:pos="11211"/>
                    </w:tabs>
                    <w:autoSpaceDE w:val="0"/>
                    <w:autoSpaceDN w:val="0"/>
                    <w:adjustRightInd w:val="0"/>
                    <w:rPr>
                      <w:szCs w:val="16"/>
                    </w:rPr>
                  </w:pPr>
                  <w:r w:rsidRPr="00DB5740">
                    <w:rPr>
                      <w:szCs w:val="16"/>
                    </w:rPr>
                    <w:t>(public float ≥ $700MM)</w:t>
                  </w:r>
                </w:p>
              </w:tc>
              <w:tc>
                <w:tcPr>
                  <w:tcW w:w="3960" w:type="dxa"/>
                  <w:tcBorders>
                    <w:top w:val="nil"/>
                    <w:left w:val="nil"/>
                    <w:bottom w:val="nil"/>
                    <w:right w:val="nil"/>
                  </w:tcBorders>
                  <w:shd w:val="clear" w:color="auto" w:fill="auto"/>
                  <w:vAlign w:val="center"/>
                </w:tcPr>
                <w:p w14:paraId="0FAE7B41" w14:textId="77777777" w:rsidR="00771086" w:rsidRPr="00DB5740" w:rsidRDefault="005B5528" w:rsidP="00771086">
                  <w:pPr>
                    <w:tabs>
                      <w:tab w:val="left" w:pos="6291"/>
                      <w:tab w:val="left" w:pos="8091"/>
                      <w:tab w:val="left" w:pos="9291"/>
                      <w:tab w:val="left" w:pos="11211"/>
                    </w:tabs>
                    <w:autoSpaceDE w:val="0"/>
                    <w:autoSpaceDN w:val="0"/>
                    <w:adjustRightInd w:val="0"/>
                    <w:jc w:val="center"/>
                    <w:rPr>
                      <w:color w:val="000000"/>
                      <w:szCs w:val="16"/>
                    </w:rPr>
                  </w:pPr>
                  <w:r w:rsidRPr="00DB5740">
                    <w:rPr>
                      <w:color w:val="000000"/>
                      <w:szCs w:val="16"/>
                    </w:rPr>
                    <w:t xml:space="preserve">March 1, </w:t>
                  </w:r>
                  <w:r>
                    <w:rPr>
                      <w:color w:val="000000"/>
                      <w:szCs w:val="16"/>
                    </w:rPr>
                    <w:t>2023</w:t>
                  </w:r>
                </w:p>
                <w:p w14:paraId="33BB26FC" w14:textId="77777777" w:rsidR="00771086" w:rsidRPr="00DB5740" w:rsidRDefault="005B5528" w:rsidP="00771086">
                  <w:pPr>
                    <w:tabs>
                      <w:tab w:val="left" w:pos="6291"/>
                      <w:tab w:val="left" w:pos="8091"/>
                      <w:tab w:val="left" w:pos="9291"/>
                      <w:tab w:val="left" w:pos="11211"/>
                    </w:tabs>
                    <w:autoSpaceDE w:val="0"/>
                    <w:autoSpaceDN w:val="0"/>
                    <w:adjustRightInd w:val="0"/>
                    <w:jc w:val="center"/>
                    <w:rPr>
                      <w:szCs w:val="16"/>
                    </w:rPr>
                  </w:pPr>
                  <w:r w:rsidRPr="00DB5740">
                    <w:rPr>
                      <w:color w:val="000000"/>
                      <w:szCs w:val="16"/>
                    </w:rPr>
                    <w:t>60 days after fiscal year end</w:t>
                  </w:r>
                </w:p>
              </w:tc>
              <w:tc>
                <w:tcPr>
                  <w:tcW w:w="3325" w:type="dxa"/>
                  <w:tcBorders>
                    <w:top w:val="nil"/>
                    <w:left w:val="nil"/>
                    <w:bottom w:val="nil"/>
                    <w:right w:val="nil"/>
                  </w:tcBorders>
                  <w:shd w:val="clear" w:color="auto" w:fill="auto"/>
                  <w:vAlign w:val="center"/>
                </w:tcPr>
                <w:p w14:paraId="2DD35821" w14:textId="77777777" w:rsidR="00771086" w:rsidRPr="00DB5740" w:rsidRDefault="005B5528" w:rsidP="00771086">
                  <w:pPr>
                    <w:tabs>
                      <w:tab w:val="left" w:pos="6291"/>
                      <w:tab w:val="left" w:pos="8091"/>
                      <w:tab w:val="left" w:pos="9291"/>
                      <w:tab w:val="left" w:pos="11211"/>
                    </w:tabs>
                    <w:autoSpaceDE w:val="0"/>
                    <w:autoSpaceDN w:val="0"/>
                    <w:adjustRightInd w:val="0"/>
                    <w:jc w:val="center"/>
                    <w:rPr>
                      <w:szCs w:val="16"/>
                    </w:rPr>
                  </w:pPr>
                  <w:r w:rsidRPr="00DB5740">
                    <w:rPr>
                      <w:szCs w:val="16"/>
                    </w:rPr>
                    <w:t>40 days</w:t>
                  </w:r>
                  <w:r w:rsidRPr="00DB5740">
                    <w:rPr>
                      <w:color w:val="000000"/>
                      <w:szCs w:val="16"/>
                    </w:rPr>
                    <w:t xml:space="preserve"> after </w:t>
                  </w:r>
                  <w:r>
                    <w:rPr>
                      <w:color w:val="000000"/>
                      <w:szCs w:val="16"/>
                    </w:rPr>
                    <w:t>each fiscal quarter</w:t>
                  </w:r>
                  <w:r w:rsidRPr="00DB5740">
                    <w:rPr>
                      <w:color w:val="000000"/>
                      <w:szCs w:val="16"/>
                    </w:rPr>
                    <w:t xml:space="preserve"> end</w:t>
                  </w:r>
                </w:p>
              </w:tc>
              <w:tc>
                <w:tcPr>
                  <w:tcW w:w="2021" w:type="dxa"/>
                  <w:tcBorders>
                    <w:top w:val="nil"/>
                    <w:left w:val="nil"/>
                    <w:bottom w:val="nil"/>
                    <w:right w:val="nil"/>
                  </w:tcBorders>
                  <w:shd w:val="clear" w:color="auto" w:fill="auto"/>
                  <w:vAlign w:val="center"/>
                </w:tcPr>
                <w:p w14:paraId="1FE8C7E0" w14:textId="77777777" w:rsidR="00771086" w:rsidRPr="00DB5740" w:rsidRDefault="005B5528" w:rsidP="00771086">
                  <w:pPr>
                    <w:tabs>
                      <w:tab w:val="left" w:pos="6291"/>
                      <w:tab w:val="left" w:pos="8091"/>
                      <w:tab w:val="left" w:pos="9291"/>
                      <w:tab w:val="left" w:pos="11211"/>
                    </w:tabs>
                    <w:autoSpaceDE w:val="0"/>
                    <w:autoSpaceDN w:val="0"/>
                    <w:adjustRightInd w:val="0"/>
                    <w:jc w:val="center"/>
                    <w:rPr>
                      <w:szCs w:val="16"/>
                    </w:rPr>
                  </w:pPr>
                  <w:r w:rsidRPr="00DB5740">
                    <w:rPr>
                      <w:szCs w:val="16"/>
                    </w:rPr>
                    <w:t>required</w:t>
                  </w:r>
                </w:p>
              </w:tc>
            </w:tr>
            <w:tr w:rsidR="00000000" w14:paraId="48F545D6" w14:textId="77777777" w:rsidTr="00D352C8">
              <w:tc>
                <w:tcPr>
                  <w:tcW w:w="4155" w:type="dxa"/>
                  <w:tcBorders>
                    <w:top w:val="nil"/>
                    <w:left w:val="nil"/>
                    <w:bottom w:val="nil"/>
                    <w:right w:val="nil"/>
                  </w:tcBorders>
                  <w:shd w:val="clear" w:color="auto" w:fill="auto"/>
                </w:tcPr>
                <w:p w14:paraId="3E30286C" w14:textId="77777777" w:rsidR="00771086" w:rsidRPr="00DB5740" w:rsidRDefault="005B5528" w:rsidP="00771086">
                  <w:pPr>
                    <w:tabs>
                      <w:tab w:val="left" w:pos="6291"/>
                      <w:tab w:val="left" w:pos="8091"/>
                      <w:tab w:val="left" w:pos="9291"/>
                      <w:tab w:val="left" w:pos="11211"/>
                    </w:tabs>
                    <w:autoSpaceDE w:val="0"/>
                    <w:autoSpaceDN w:val="0"/>
                    <w:adjustRightInd w:val="0"/>
                    <w:rPr>
                      <w:szCs w:val="16"/>
                    </w:rPr>
                  </w:pPr>
                  <w:r w:rsidRPr="00DB5740">
                    <w:rPr>
                      <w:b/>
                      <w:szCs w:val="16"/>
                    </w:rPr>
                    <w:t>Accelerated Filers*</w:t>
                  </w:r>
                  <w:r w:rsidRPr="00DB5740">
                    <w:rPr>
                      <w:szCs w:val="16"/>
                    </w:rPr>
                    <w:t xml:space="preserve"> </w:t>
                  </w:r>
                </w:p>
                <w:p w14:paraId="588B99B0" w14:textId="77777777" w:rsidR="00771086" w:rsidRPr="00DB5740" w:rsidRDefault="005B5528" w:rsidP="00771086">
                  <w:pPr>
                    <w:tabs>
                      <w:tab w:val="left" w:pos="6291"/>
                      <w:tab w:val="left" w:pos="8091"/>
                      <w:tab w:val="left" w:pos="9291"/>
                      <w:tab w:val="left" w:pos="11211"/>
                    </w:tabs>
                    <w:autoSpaceDE w:val="0"/>
                    <w:autoSpaceDN w:val="0"/>
                    <w:adjustRightInd w:val="0"/>
                    <w:rPr>
                      <w:szCs w:val="16"/>
                    </w:rPr>
                  </w:pPr>
                  <w:r w:rsidRPr="00DB5740">
                    <w:rPr>
                      <w:szCs w:val="16"/>
                    </w:rPr>
                    <w:t xml:space="preserve">(public float ≥ $75MM </w:t>
                  </w:r>
                  <w:r w:rsidRPr="00DB5740">
                    <w:rPr>
                      <w:szCs w:val="16"/>
                    </w:rPr>
                    <w:t>and &lt; $700MM)</w:t>
                  </w:r>
                </w:p>
              </w:tc>
              <w:tc>
                <w:tcPr>
                  <w:tcW w:w="3960" w:type="dxa"/>
                  <w:tcBorders>
                    <w:top w:val="nil"/>
                    <w:left w:val="nil"/>
                    <w:bottom w:val="nil"/>
                    <w:right w:val="nil"/>
                  </w:tcBorders>
                  <w:shd w:val="clear" w:color="auto" w:fill="auto"/>
                  <w:vAlign w:val="center"/>
                </w:tcPr>
                <w:p w14:paraId="7E93E8B3" w14:textId="77777777" w:rsidR="00771086" w:rsidRPr="00DB5740" w:rsidRDefault="005B5528" w:rsidP="00771086">
                  <w:pPr>
                    <w:tabs>
                      <w:tab w:val="left" w:pos="6291"/>
                      <w:tab w:val="left" w:pos="8091"/>
                      <w:tab w:val="left" w:pos="9291"/>
                      <w:tab w:val="left" w:pos="11211"/>
                    </w:tabs>
                    <w:autoSpaceDE w:val="0"/>
                    <w:autoSpaceDN w:val="0"/>
                    <w:adjustRightInd w:val="0"/>
                    <w:jc w:val="center"/>
                    <w:rPr>
                      <w:szCs w:val="16"/>
                    </w:rPr>
                  </w:pPr>
                  <w:r w:rsidRPr="00DB5740">
                    <w:rPr>
                      <w:szCs w:val="16"/>
                    </w:rPr>
                    <w:t xml:space="preserve">March 16, </w:t>
                  </w:r>
                  <w:r>
                    <w:rPr>
                      <w:szCs w:val="16"/>
                    </w:rPr>
                    <w:t>2023</w:t>
                  </w:r>
                </w:p>
                <w:p w14:paraId="0B530D39" w14:textId="77777777" w:rsidR="00771086" w:rsidRPr="00DB5740" w:rsidRDefault="005B5528" w:rsidP="00771086">
                  <w:pPr>
                    <w:tabs>
                      <w:tab w:val="left" w:pos="6291"/>
                      <w:tab w:val="left" w:pos="8091"/>
                      <w:tab w:val="left" w:pos="9291"/>
                      <w:tab w:val="left" w:pos="11211"/>
                    </w:tabs>
                    <w:autoSpaceDE w:val="0"/>
                    <w:autoSpaceDN w:val="0"/>
                    <w:adjustRightInd w:val="0"/>
                    <w:jc w:val="center"/>
                    <w:rPr>
                      <w:szCs w:val="16"/>
                    </w:rPr>
                  </w:pPr>
                  <w:r w:rsidRPr="00DB5740">
                    <w:rPr>
                      <w:szCs w:val="16"/>
                    </w:rPr>
                    <w:t>75 days</w:t>
                  </w:r>
                  <w:r w:rsidRPr="00DB5740">
                    <w:rPr>
                      <w:color w:val="000000"/>
                      <w:szCs w:val="16"/>
                    </w:rPr>
                    <w:t xml:space="preserve"> after fiscal year end</w:t>
                  </w:r>
                </w:p>
              </w:tc>
              <w:tc>
                <w:tcPr>
                  <w:tcW w:w="3325" w:type="dxa"/>
                  <w:tcBorders>
                    <w:top w:val="nil"/>
                    <w:left w:val="nil"/>
                    <w:bottom w:val="nil"/>
                    <w:right w:val="nil"/>
                  </w:tcBorders>
                  <w:shd w:val="clear" w:color="auto" w:fill="auto"/>
                  <w:vAlign w:val="center"/>
                </w:tcPr>
                <w:p w14:paraId="0C2EF04B" w14:textId="77777777" w:rsidR="00771086" w:rsidRPr="00DB5740" w:rsidRDefault="005B5528" w:rsidP="00771086">
                  <w:pPr>
                    <w:tabs>
                      <w:tab w:val="left" w:pos="6291"/>
                      <w:tab w:val="left" w:pos="8091"/>
                      <w:tab w:val="left" w:pos="9291"/>
                      <w:tab w:val="left" w:pos="11211"/>
                    </w:tabs>
                    <w:autoSpaceDE w:val="0"/>
                    <w:autoSpaceDN w:val="0"/>
                    <w:adjustRightInd w:val="0"/>
                    <w:jc w:val="center"/>
                    <w:rPr>
                      <w:szCs w:val="16"/>
                    </w:rPr>
                  </w:pPr>
                  <w:r w:rsidRPr="00DB5740">
                    <w:rPr>
                      <w:szCs w:val="16"/>
                    </w:rPr>
                    <w:t>40 days</w:t>
                  </w:r>
                  <w:r w:rsidRPr="00DB5740">
                    <w:rPr>
                      <w:color w:val="000000"/>
                      <w:szCs w:val="16"/>
                    </w:rPr>
                    <w:t xml:space="preserve"> after </w:t>
                  </w:r>
                  <w:r>
                    <w:rPr>
                      <w:color w:val="000000"/>
                      <w:szCs w:val="16"/>
                    </w:rPr>
                    <w:t xml:space="preserve">each fiscal quarter </w:t>
                  </w:r>
                  <w:r w:rsidRPr="00DB5740">
                    <w:rPr>
                      <w:color w:val="000000"/>
                      <w:szCs w:val="16"/>
                    </w:rPr>
                    <w:t>end</w:t>
                  </w:r>
                </w:p>
              </w:tc>
              <w:tc>
                <w:tcPr>
                  <w:tcW w:w="2021" w:type="dxa"/>
                  <w:tcBorders>
                    <w:top w:val="nil"/>
                    <w:left w:val="nil"/>
                    <w:bottom w:val="nil"/>
                    <w:right w:val="nil"/>
                  </w:tcBorders>
                  <w:shd w:val="clear" w:color="auto" w:fill="auto"/>
                  <w:vAlign w:val="center"/>
                </w:tcPr>
                <w:p w14:paraId="7FC523A4" w14:textId="77777777" w:rsidR="00771086" w:rsidRPr="00DB5740" w:rsidRDefault="005B5528" w:rsidP="00771086">
                  <w:pPr>
                    <w:tabs>
                      <w:tab w:val="left" w:pos="6291"/>
                      <w:tab w:val="left" w:pos="8091"/>
                      <w:tab w:val="left" w:pos="9291"/>
                      <w:tab w:val="left" w:pos="11211"/>
                    </w:tabs>
                    <w:autoSpaceDE w:val="0"/>
                    <w:autoSpaceDN w:val="0"/>
                    <w:adjustRightInd w:val="0"/>
                    <w:jc w:val="center"/>
                    <w:rPr>
                      <w:szCs w:val="16"/>
                    </w:rPr>
                  </w:pPr>
                  <w:r w:rsidRPr="00DB5740">
                    <w:rPr>
                      <w:szCs w:val="16"/>
                    </w:rPr>
                    <w:t>required</w:t>
                  </w:r>
                </w:p>
              </w:tc>
            </w:tr>
            <w:tr w:rsidR="00000000" w14:paraId="06BFED24" w14:textId="77777777" w:rsidTr="00D352C8">
              <w:tc>
                <w:tcPr>
                  <w:tcW w:w="4155" w:type="dxa"/>
                  <w:tcBorders>
                    <w:top w:val="nil"/>
                    <w:left w:val="nil"/>
                    <w:bottom w:val="nil"/>
                    <w:right w:val="nil"/>
                  </w:tcBorders>
                  <w:shd w:val="clear" w:color="auto" w:fill="auto"/>
                </w:tcPr>
                <w:p w14:paraId="0484F4F1" w14:textId="77777777" w:rsidR="00771086" w:rsidRPr="00DB5740" w:rsidRDefault="005B5528" w:rsidP="00771086">
                  <w:pPr>
                    <w:tabs>
                      <w:tab w:val="left" w:pos="6291"/>
                      <w:tab w:val="left" w:pos="8091"/>
                      <w:tab w:val="left" w:pos="9291"/>
                      <w:tab w:val="left" w:pos="11211"/>
                    </w:tabs>
                    <w:autoSpaceDE w:val="0"/>
                    <w:autoSpaceDN w:val="0"/>
                    <w:adjustRightInd w:val="0"/>
                    <w:rPr>
                      <w:szCs w:val="16"/>
                    </w:rPr>
                  </w:pPr>
                  <w:r w:rsidRPr="00DB5740">
                    <w:rPr>
                      <w:b/>
                      <w:szCs w:val="16"/>
                    </w:rPr>
                    <w:t>Non-Accelerated Filers*</w:t>
                  </w:r>
                  <w:r w:rsidRPr="00DB5740">
                    <w:rPr>
                      <w:szCs w:val="16"/>
                    </w:rPr>
                    <w:t xml:space="preserve"> </w:t>
                  </w:r>
                </w:p>
                <w:p w14:paraId="7BB57EFD" w14:textId="77777777" w:rsidR="00771086" w:rsidRPr="00DB5740" w:rsidRDefault="005B5528" w:rsidP="00771086">
                  <w:pPr>
                    <w:tabs>
                      <w:tab w:val="left" w:pos="6291"/>
                      <w:tab w:val="left" w:pos="8091"/>
                      <w:tab w:val="left" w:pos="9291"/>
                      <w:tab w:val="left" w:pos="11211"/>
                    </w:tabs>
                    <w:autoSpaceDE w:val="0"/>
                    <w:autoSpaceDN w:val="0"/>
                    <w:adjustRightInd w:val="0"/>
                    <w:rPr>
                      <w:szCs w:val="16"/>
                    </w:rPr>
                  </w:pPr>
                  <w:r w:rsidRPr="00DB5740">
                    <w:rPr>
                      <w:szCs w:val="16"/>
                    </w:rPr>
                    <w:t>(public float &lt; $75MM)</w:t>
                  </w:r>
                </w:p>
              </w:tc>
              <w:tc>
                <w:tcPr>
                  <w:tcW w:w="3960" w:type="dxa"/>
                  <w:tcBorders>
                    <w:top w:val="nil"/>
                    <w:left w:val="nil"/>
                    <w:bottom w:val="nil"/>
                    <w:right w:val="nil"/>
                  </w:tcBorders>
                  <w:shd w:val="clear" w:color="auto" w:fill="auto"/>
                  <w:vAlign w:val="center"/>
                </w:tcPr>
                <w:p w14:paraId="7CD5AE03" w14:textId="77777777" w:rsidR="00771086" w:rsidRPr="00DB5740" w:rsidRDefault="005B5528" w:rsidP="00771086">
                  <w:pPr>
                    <w:tabs>
                      <w:tab w:val="left" w:pos="6291"/>
                      <w:tab w:val="left" w:pos="8091"/>
                      <w:tab w:val="left" w:pos="9291"/>
                      <w:tab w:val="left" w:pos="11211"/>
                    </w:tabs>
                    <w:autoSpaceDE w:val="0"/>
                    <w:autoSpaceDN w:val="0"/>
                    <w:adjustRightInd w:val="0"/>
                    <w:jc w:val="center"/>
                    <w:rPr>
                      <w:szCs w:val="16"/>
                    </w:rPr>
                  </w:pPr>
                  <w:r w:rsidRPr="00DB5740">
                    <w:rPr>
                      <w:szCs w:val="16"/>
                    </w:rPr>
                    <w:t xml:space="preserve">March 31, </w:t>
                  </w:r>
                  <w:r>
                    <w:rPr>
                      <w:szCs w:val="16"/>
                    </w:rPr>
                    <w:t>2023</w:t>
                  </w:r>
                </w:p>
                <w:p w14:paraId="2C819DE8" w14:textId="77777777" w:rsidR="00771086" w:rsidRPr="00DB5740" w:rsidRDefault="005B5528" w:rsidP="00771086">
                  <w:pPr>
                    <w:tabs>
                      <w:tab w:val="left" w:pos="6291"/>
                      <w:tab w:val="left" w:pos="8091"/>
                      <w:tab w:val="left" w:pos="9291"/>
                      <w:tab w:val="left" w:pos="11211"/>
                    </w:tabs>
                    <w:autoSpaceDE w:val="0"/>
                    <w:autoSpaceDN w:val="0"/>
                    <w:adjustRightInd w:val="0"/>
                    <w:jc w:val="center"/>
                    <w:rPr>
                      <w:szCs w:val="16"/>
                    </w:rPr>
                  </w:pPr>
                  <w:r w:rsidRPr="00DB5740">
                    <w:rPr>
                      <w:szCs w:val="16"/>
                    </w:rPr>
                    <w:t>90 days</w:t>
                  </w:r>
                  <w:r w:rsidRPr="00DB5740">
                    <w:rPr>
                      <w:color w:val="000000"/>
                      <w:szCs w:val="16"/>
                    </w:rPr>
                    <w:t xml:space="preserve"> after fiscal year end</w:t>
                  </w:r>
                </w:p>
              </w:tc>
              <w:tc>
                <w:tcPr>
                  <w:tcW w:w="3325" w:type="dxa"/>
                  <w:tcBorders>
                    <w:top w:val="nil"/>
                    <w:left w:val="nil"/>
                    <w:bottom w:val="nil"/>
                    <w:right w:val="nil"/>
                  </w:tcBorders>
                  <w:shd w:val="clear" w:color="auto" w:fill="auto"/>
                  <w:vAlign w:val="center"/>
                </w:tcPr>
                <w:p w14:paraId="039387A8" w14:textId="77777777" w:rsidR="00771086" w:rsidRPr="00DB5740" w:rsidRDefault="005B5528" w:rsidP="00771086">
                  <w:pPr>
                    <w:tabs>
                      <w:tab w:val="left" w:pos="6291"/>
                      <w:tab w:val="left" w:pos="8091"/>
                      <w:tab w:val="left" w:pos="9291"/>
                      <w:tab w:val="left" w:pos="11211"/>
                    </w:tabs>
                    <w:autoSpaceDE w:val="0"/>
                    <w:autoSpaceDN w:val="0"/>
                    <w:adjustRightInd w:val="0"/>
                    <w:jc w:val="center"/>
                    <w:rPr>
                      <w:szCs w:val="16"/>
                    </w:rPr>
                  </w:pPr>
                  <w:r w:rsidRPr="00DB5740">
                    <w:rPr>
                      <w:szCs w:val="16"/>
                    </w:rPr>
                    <w:t>45 days</w:t>
                  </w:r>
                  <w:r w:rsidRPr="00DB5740">
                    <w:rPr>
                      <w:color w:val="000000"/>
                      <w:szCs w:val="16"/>
                    </w:rPr>
                    <w:t xml:space="preserve"> after</w:t>
                  </w:r>
                  <w:r>
                    <w:rPr>
                      <w:color w:val="000000"/>
                      <w:szCs w:val="16"/>
                    </w:rPr>
                    <w:t xml:space="preserve"> each fiscal quarter</w:t>
                  </w:r>
                  <w:r w:rsidRPr="00DB5740">
                    <w:rPr>
                      <w:color w:val="000000"/>
                      <w:szCs w:val="16"/>
                    </w:rPr>
                    <w:t xml:space="preserve"> end</w:t>
                  </w:r>
                </w:p>
              </w:tc>
              <w:tc>
                <w:tcPr>
                  <w:tcW w:w="2021" w:type="dxa"/>
                  <w:tcBorders>
                    <w:top w:val="nil"/>
                    <w:left w:val="nil"/>
                    <w:bottom w:val="nil"/>
                    <w:right w:val="nil"/>
                  </w:tcBorders>
                  <w:shd w:val="clear" w:color="auto" w:fill="auto"/>
                  <w:vAlign w:val="center"/>
                </w:tcPr>
                <w:p w14:paraId="4DC7D840" w14:textId="77777777" w:rsidR="00771086" w:rsidRPr="00DB5740" w:rsidRDefault="005B5528" w:rsidP="00771086">
                  <w:pPr>
                    <w:tabs>
                      <w:tab w:val="left" w:pos="6291"/>
                      <w:tab w:val="left" w:pos="8091"/>
                      <w:tab w:val="left" w:pos="9291"/>
                      <w:tab w:val="left" w:pos="11211"/>
                    </w:tabs>
                    <w:autoSpaceDE w:val="0"/>
                    <w:autoSpaceDN w:val="0"/>
                    <w:adjustRightInd w:val="0"/>
                    <w:jc w:val="center"/>
                    <w:rPr>
                      <w:szCs w:val="16"/>
                    </w:rPr>
                  </w:pPr>
                  <w:r w:rsidRPr="00DB5740">
                    <w:rPr>
                      <w:szCs w:val="16"/>
                    </w:rPr>
                    <w:t>see below</w:t>
                  </w:r>
                </w:p>
              </w:tc>
            </w:tr>
            <w:tr w:rsidR="00000000" w14:paraId="1617498E" w14:textId="77777777" w:rsidTr="00D352C8">
              <w:tc>
                <w:tcPr>
                  <w:tcW w:w="4155" w:type="dxa"/>
                  <w:tcBorders>
                    <w:top w:val="nil"/>
                    <w:left w:val="nil"/>
                    <w:bottom w:val="nil"/>
                    <w:right w:val="nil"/>
                  </w:tcBorders>
                  <w:shd w:val="clear" w:color="auto" w:fill="auto"/>
                </w:tcPr>
                <w:p w14:paraId="0BF9220C" w14:textId="77777777" w:rsidR="00771086" w:rsidRPr="00DB5740" w:rsidRDefault="005B5528" w:rsidP="00771086">
                  <w:pPr>
                    <w:tabs>
                      <w:tab w:val="left" w:pos="6291"/>
                      <w:tab w:val="left" w:pos="8091"/>
                      <w:tab w:val="left" w:pos="9291"/>
                      <w:tab w:val="left" w:pos="11211"/>
                    </w:tabs>
                    <w:autoSpaceDE w:val="0"/>
                    <w:autoSpaceDN w:val="0"/>
                    <w:adjustRightInd w:val="0"/>
                    <w:rPr>
                      <w:bCs/>
                      <w:szCs w:val="16"/>
                    </w:rPr>
                  </w:pPr>
                  <w:r w:rsidRPr="00DB5740">
                    <w:rPr>
                      <w:b/>
                      <w:szCs w:val="16"/>
                    </w:rPr>
                    <w:t xml:space="preserve">Latest </w:t>
                  </w:r>
                  <w:r w:rsidRPr="00DB5740">
                    <w:rPr>
                      <w:b/>
                      <w:szCs w:val="16"/>
                    </w:rPr>
                    <w:t xml:space="preserve">Day to File Definitive Proxy Statement </w:t>
                  </w:r>
                  <w:r w:rsidRPr="00DB5740">
                    <w:rPr>
                      <w:bCs/>
                      <w:szCs w:val="16"/>
                    </w:rPr>
                    <w:t xml:space="preserve">if Part III of Form </w:t>
                  </w:r>
                  <w:r>
                    <w:rPr>
                      <w:bCs/>
                      <w:szCs w:val="16"/>
                    </w:rPr>
                    <w:t>10</w:t>
                  </w:r>
                  <w:r>
                    <w:rPr>
                      <w:bCs/>
                      <w:szCs w:val="16"/>
                    </w:rPr>
                    <w:noBreakHyphen/>
                    <w:t>K</w:t>
                  </w:r>
                  <w:r w:rsidRPr="00DB5740">
                    <w:rPr>
                      <w:bCs/>
                      <w:szCs w:val="16"/>
                    </w:rPr>
                    <w:t xml:space="preserve"> incorporates this disclosure from proxy statement by reference</w:t>
                  </w:r>
                </w:p>
              </w:tc>
              <w:tc>
                <w:tcPr>
                  <w:tcW w:w="9306" w:type="dxa"/>
                  <w:gridSpan w:val="3"/>
                  <w:tcBorders>
                    <w:top w:val="nil"/>
                    <w:left w:val="nil"/>
                    <w:bottom w:val="nil"/>
                    <w:right w:val="nil"/>
                  </w:tcBorders>
                  <w:shd w:val="clear" w:color="auto" w:fill="auto"/>
                  <w:vAlign w:val="center"/>
                </w:tcPr>
                <w:p w14:paraId="6F9BE107" w14:textId="77777777" w:rsidR="00771086" w:rsidRPr="00DB5740" w:rsidRDefault="005B5528" w:rsidP="00771086">
                  <w:pPr>
                    <w:tabs>
                      <w:tab w:val="left" w:pos="6291"/>
                      <w:tab w:val="left" w:pos="8091"/>
                      <w:tab w:val="left" w:pos="9291"/>
                      <w:tab w:val="left" w:pos="11211"/>
                    </w:tabs>
                    <w:autoSpaceDE w:val="0"/>
                    <w:autoSpaceDN w:val="0"/>
                    <w:adjustRightInd w:val="0"/>
                    <w:jc w:val="center"/>
                    <w:rPr>
                      <w:szCs w:val="16"/>
                    </w:rPr>
                  </w:pPr>
                  <w:r w:rsidRPr="00DB5740">
                    <w:rPr>
                      <w:szCs w:val="16"/>
                    </w:rPr>
                    <w:t xml:space="preserve">May </w:t>
                  </w:r>
                  <w:r>
                    <w:rPr>
                      <w:szCs w:val="16"/>
                    </w:rPr>
                    <w:t>1</w:t>
                  </w:r>
                  <w:r w:rsidRPr="00DB5740">
                    <w:rPr>
                      <w:szCs w:val="16"/>
                    </w:rPr>
                    <w:t xml:space="preserve">, </w:t>
                  </w:r>
                  <w:r>
                    <w:rPr>
                      <w:szCs w:val="16"/>
                    </w:rPr>
                    <w:t>2023</w:t>
                  </w:r>
                </w:p>
                <w:p w14:paraId="4A14AC00" w14:textId="77777777" w:rsidR="00771086" w:rsidRPr="00DB5740" w:rsidRDefault="005B5528" w:rsidP="00771086">
                  <w:pPr>
                    <w:tabs>
                      <w:tab w:val="left" w:pos="6291"/>
                      <w:tab w:val="left" w:pos="8091"/>
                      <w:tab w:val="left" w:pos="9291"/>
                      <w:tab w:val="left" w:pos="11211"/>
                    </w:tabs>
                    <w:autoSpaceDE w:val="0"/>
                    <w:autoSpaceDN w:val="0"/>
                    <w:adjustRightInd w:val="0"/>
                    <w:jc w:val="center"/>
                    <w:rPr>
                      <w:szCs w:val="16"/>
                    </w:rPr>
                  </w:pPr>
                  <w:r w:rsidRPr="00DB5740">
                    <w:rPr>
                      <w:szCs w:val="16"/>
                    </w:rPr>
                    <w:t>120 days after fiscal year end</w:t>
                  </w:r>
                </w:p>
              </w:tc>
            </w:tr>
          </w:tbl>
          <w:p w14:paraId="166D7FFD" w14:textId="77777777" w:rsidR="00771086" w:rsidRPr="00DB5740" w:rsidRDefault="00771086" w:rsidP="00771086">
            <w:pPr>
              <w:tabs>
                <w:tab w:val="left" w:pos="6291"/>
                <w:tab w:val="left" w:pos="8091"/>
                <w:tab w:val="left" w:pos="9291"/>
                <w:tab w:val="left" w:pos="11211"/>
              </w:tabs>
              <w:autoSpaceDE w:val="0"/>
              <w:autoSpaceDN w:val="0"/>
              <w:adjustRightInd w:val="0"/>
              <w:rPr>
                <w:szCs w:val="16"/>
              </w:rPr>
            </w:pPr>
          </w:p>
          <w:p w14:paraId="01D3D79E" w14:textId="77777777" w:rsidR="00771086" w:rsidRPr="00DB5740" w:rsidRDefault="005B5528" w:rsidP="00771086">
            <w:pPr>
              <w:tabs>
                <w:tab w:val="left" w:pos="6531"/>
                <w:tab w:val="left" w:pos="8091"/>
                <w:tab w:val="left" w:pos="8211"/>
                <w:tab w:val="left" w:pos="9291"/>
                <w:tab w:val="left" w:pos="11331"/>
                <w:tab w:val="left" w:pos="11571"/>
              </w:tabs>
              <w:autoSpaceDE w:val="0"/>
              <w:autoSpaceDN w:val="0"/>
              <w:adjustRightInd w:val="0"/>
              <w:rPr>
                <w:b/>
                <w:iCs/>
                <w:szCs w:val="16"/>
              </w:rPr>
            </w:pPr>
            <w:r w:rsidRPr="00DB5740">
              <w:rPr>
                <w:b/>
                <w:iCs/>
                <w:szCs w:val="16"/>
              </w:rPr>
              <w:t>Note that Smaller Reporting Companies may also be Accelerated Filers</w:t>
            </w:r>
            <w:r>
              <w:rPr>
                <w:b/>
                <w:iCs/>
                <w:szCs w:val="16"/>
              </w:rPr>
              <w:t xml:space="preserve"> and therefore</w:t>
            </w:r>
            <w:r w:rsidRPr="00DB5740">
              <w:rPr>
                <w:b/>
                <w:iCs/>
                <w:szCs w:val="16"/>
              </w:rPr>
              <w:t xml:space="preserve"> s</w:t>
            </w:r>
            <w:r w:rsidRPr="00DB5740">
              <w:rPr>
                <w:b/>
                <w:iCs/>
                <w:szCs w:val="16"/>
              </w:rPr>
              <w:t>ubject to filing deadlines for Accelerated Filers</w:t>
            </w:r>
            <w:r>
              <w:rPr>
                <w:b/>
                <w:iCs/>
                <w:szCs w:val="16"/>
              </w:rPr>
              <w:t>.</w:t>
            </w:r>
          </w:p>
          <w:p w14:paraId="37037F8C" w14:textId="77777777" w:rsidR="00771086" w:rsidRPr="00DB5740" w:rsidRDefault="00771086" w:rsidP="00771086">
            <w:pPr>
              <w:tabs>
                <w:tab w:val="left" w:pos="6531"/>
                <w:tab w:val="left" w:pos="8091"/>
                <w:tab w:val="left" w:pos="8211"/>
                <w:tab w:val="left" w:pos="9291"/>
                <w:tab w:val="left" w:pos="11331"/>
                <w:tab w:val="left" w:pos="11571"/>
              </w:tabs>
              <w:autoSpaceDE w:val="0"/>
              <w:autoSpaceDN w:val="0"/>
              <w:adjustRightInd w:val="0"/>
              <w:rPr>
                <w:szCs w:val="16"/>
              </w:rPr>
            </w:pPr>
          </w:p>
          <w:p w14:paraId="1C40EBB7" w14:textId="77777777" w:rsidR="00771086" w:rsidRPr="00DB5740" w:rsidRDefault="005B5528" w:rsidP="00771086">
            <w:pPr>
              <w:autoSpaceDE w:val="0"/>
              <w:autoSpaceDN w:val="0"/>
              <w:adjustRightInd w:val="0"/>
              <w:spacing w:after="240"/>
              <w:rPr>
                <w:b/>
                <w:bCs/>
                <w:iCs/>
                <w:smallCaps/>
                <w:color w:val="000000"/>
                <w:sz w:val="26"/>
                <w:szCs w:val="26"/>
              </w:rPr>
            </w:pPr>
            <w:r w:rsidRPr="00DB5740">
              <w:rPr>
                <w:b/>
                <w:bCs/>
                <w:iCs/>
                <w:smallCaps/>
                <w:color w:val="000000"/>
                <w:sz w:val="26"/>
                <w:szCs w:val="26"/>
              </w:rPr>
              <w:t>Permanent Non-Accelerated Filer Exemption – Internal Control/Section 404</w:t>
            </w:r>
          </w:p>
          <w:p w14:paraId="019F8B66" w14:textId="77777777" w:rsidR="00771086" w:rsidRPr="00DB5740" w:rsidRDefault="005B5528" w:rsidP="00771086">
            <w:pPr>
              <w:tabs>
                <w:tab w:val="left" w:pos="6531"/>
                <w:tab w:val="left" w:pos="8211"/>
                <w:tab w:val="left" w:pos="9291"/>
                <w:tab w:val="left" w:pos="11091"/>
              </w:tabs>
              <w:autoSpaceDE w:val="0"/>
              <w:autoSpaceDN w:val="0"/>
              <w:adjustRightInd w:val="0"/>
              <w:rPr>
                <w:szCs w:val="24"/>
              </w:rPr>
            </w:pPr>
            <w:r w:rsidRPr="00DB5740">
              <w:rPr>
                <w:szCs w:val="24"/>
              </w:rPr>
              <w:t>Under SEC rules,</w:t>
            </w:r>
            <w:r w:rsidRPr="00DB5740">
              <w:rPr>
                <w:b/>
                <w:szCs w:val="24"/>
              </w:rPr>
              <w:t xml:space="preserve"> non-accelerated filers</w:t>
            </w:r>
            <w:r w:rsidRPr="00DB5740">
              <w:rPr>
                <w:szCs w:val="24"/>
              </w:rPr>
              <w:t xml:space="preserve"> are permanently exempt from the requirement to provide an </w:t>
            </w:r>
            <w:r w:rsidRPr="00DB5740">
              <w:rPr>
                <w:b/>
                <w:szCs w:val="24"/>
              </w:rPr>
              <w:t>auditor attestation</w:t>
            </w:r>
            <w:r w:rsidRPr="00DB5740">
              <w:rPr>
                <w:szCs w:val="24"/>
              </w:rPr>
              <w:t xml:space="preserve"> on the compan</w:t>
            </w:r>
            <w:r w:rsidRPr="00DB5740">
              <w:rPr>
                <w:szCs w:val="24"/>
              </w:rPr>
              <w:t>y</w:t>
            </w:r>
            <w:r>
              <w:rPr>
                <w:szCs w:val="24"/>
              </w:rPr>
              <w:t>’</w:t>
            </w:r>
            <w:r w:rsidRPr="00DB5740">
              <w:rPr>
                <w:szCs w:val="24"/>
              </w:rPr>
              <w:t xml:space="preserve">s internal control over financial reporting.  They continue to be subject to the requirement to provide a </w:t>
            </w:r>
            <w:r w:rsidRPr="00DB5740">
              <w:rPr>
                <w:b/>
                <w:szCs w:val="24"/>
              </w:rPr>
              <w:t>management report</w:t>
            </w:r>
            <w:r w:rsidRPr="00DB5740">
              <w:rPr>
                <w:szCs w:val="24"/>
              </w:rPr>
              <w:t xml:space="preserve"> (including an assessment of effectiveness) on internal control over financial reporting in their annual reports.</w:t>
            </w:r>
          </w:p>
          <w:p w14:paraId="60B37935" w14:textId="77777777" w:rsidR="00771086" w:rsidRPr="00DB5740" w:rsidRDefault="00771086" w:rsidP="00771086">
            <w:pPr>
              <w:tabs>
                <w:tab w:val="left" w:pos="6531"/>
                <w:tab w:val="left" w:pos="8211"/>
                <w:tab w:val="left" w:pos="9291"/>
                <w:tab w:val="left" w:pos="11091"/>
              </w:tabs>
              <w:autoSpaceDE w:val="0"/>
              <w:autoSpaceDN w:val="0"/>
              <w:adjustRightInd w:val="0"/>
              <w:rPr>
                <w:szCs w:val="16"/>
              </w:rPr>
            </w:pPr>
          </w:p>
          <w:p w14:paraId="603DC616" w14:textId="77777777" w:rsidR="00771086" w:rsidRPr="00DB5740" w:rsidRDefault="005B5528" w:rsidP="00771086">
            <w:pPr>
              <w:autoSpaceDE w:val="0"/>
              <w:autoSpaceDN w:val="0"/>
              <w:adjustRightInd w:val="0"/>
              <w:spacing w:after="240"/>
              <w:rPr>
                <w:b/>
                <w:bCs/>
                <w:i/>
                <w:smallCaps/>
                <w:color w:val="000000"/>
                <w:sz w:val="26"/>
                <w:szCs w:val="26"/>
                <w:u w:val="single"/>
              </w:rPr>
            </w:pPr>
            <w:r w:rsidRPr="00DB5740">
              <w:rPr>
                <w:sz w:val="20"/>
              </w:rPr>
              <w:t>* See definition</w:t>
            </w:r>
            <w:r w:rsidRPr="00DB5740">
              <w:rPr>
                <w:sz w:val="20"/>
              </w:rPr>
              <w:t>s below.</w:t>
            </w:r>
          </w:p>
        </w:tc>
      </w:tr>
      <w:tr w:rsidR="00000000" w14:paraId="38B2FC94" w14:textId="77777777" w:rsidTr="006D5F83">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auto"/>
          </w:tcPr>
          <w:p w14:paraId="3EC2FB2F" w14:textId="77777777" w:rsidR="00771086" w:rsidRPr="00DB5740" w:rsidRDefault="005B5528" w:rsidP="00771086">
            <w:pPr>
              <w:autoSpaceDE w:val="0"/>
              <w:autoSpaceDN w:val="0"/>
              <w:adjustRightInd w:val="0"/>
              <w:spacing w:after="240"/>
              <w:rPr>
                <w:b/>
                <w:bCs/>
                <w:iCs/>
                <w:smallCaps/>
                <w:sz w:val="26"/>
                <w:szCs w:val="26"/>
                <w:u w:val="single"/>
              </w:rPr>
            </w:pPr>
            <w:r w:rsidRPr="00DB5740">
              <w:rPr>
                <w:b/>
                <w:bCs/>
                <w:iCs/>
                <w:smallCaps/>
                <w:sz w:val="26"/>
                <w:szCs w:val="26"/>
                <w:u w:val="single"/>
              </w:rPr>
              <w:lastRenderedPageBreak/>
              <w:t>Entering and Exiting Large Accelerated Filer and Accelerated Filer Status</w:t>
            </w:r>
          </w:p>
          <w:p w14:paraId="592B158F" w14:textId="77777777" w:rsidR="00771086" w:rsidRPr="00DB5740" w:rsidRDefault="005B5528" w:rsidP="00771086">
            <w:pPr>
              <w:autoSpaceDE w:val="0"/>
              <w:autoSpaceDN w:val="0"/>
              <w:adjustRightInd w:val="0"/>
              <w:spacing w:after="120"/>
              <w:ind w:left="51"/>
              <w:rPr>
                <w:b/>
                <w:bCs/>
                <w:iCs/>
                <w:color w:val="FF0000"/>
                <w:szCs w:val="24"/>
              </w:rPr>
            </w:pPr>
            <w:r w:rsidRPr="00DB5740">
              <w:rPr>
                <w:b/>
                <w:bCs/>
                <w:iCs/>
                <w:color w:val="FF0000"/>
                <w:szCs w:val="24"/>
              </w:rPr>
              <w:t xml:space="preserve">[See SEC </w:t>
            </w:r>
            <w:hyperlink r:id="rId25" w:history="1">
              <w:r w:rsidRPr="00DB5740">
                <w:rPr>
                  <w:rStyle w:val="Hyperlink"/>
                  <w:b/>
                  <w:bCs/>
                  <w:iCs/>
                  <w:szCs w:val="24"/>
                </w:rPr>
                <w:t>Small Entity Complianc</w:t>
              </w:r>
              <w:bookmarkStart w:id="5" w:name="_Hlt119601100"/>
              <w:bookmarkStart w:id="6" w:name="_Hlt119601101"/>
              <w:bookmarkEnd w:id="5"/>
              <w:bookmarkEnd w:id="6"/>
              <w:r w:rsidRPr="00DB5740">
                <w:rPr>
                  <w:rStyle w:val="Hyperlink"/>
                  <w:b/>
                  <w:bCs/>
                  <w:iCs/>
                  <w:szCs w:val="24"/>
                </w:rPr>
                <w:t xml:space="preserve">e </w:t>
              </w:r>
              <w:bookmarkStart w:id="7" w:name="_Hlt94424611"/>
              <w:bookmarkStart w:id="8" w:name="_Hlt94424612"/>
              <w:r w:rsidRPr="00DB5740">
                <w:rPr>
                  <w:rStyle w:val="Hyperlink"/>
                  <w:b/>
                  <w:bCs/>
                  <w:iCs/>
                  <w:szCs w:val="24"/>
                </w:rPr>
                <w:t>G</w:t>
              </w:r>
              <w:bookmarkEnd w:id="7"/>
              <w:bookmarkEnd w:id="8"/>
              <w:r w:rsidRPr="00DB5740">
                <w:rPr>
                  <w:rStyle w:val="Hyperlink"/>
                  <w:b/>
                  <w:bCs/>
                  <w:iCs/>
                  <w:szCs w:val="24"/>
                </w:rPr>
                <w:t>uide</w:t>
              </w:r>
            </w:hyperlink>
            <w:r w:rsidRPr="00DB5740">
              <w:rPr>
                <w:b/>
                <w:bCs/>
                <w:iCs/>
                <w:color w:val="FF0000"/>
                <w:szCs w:val="24"/>
              </w:rPr>
              <w:t xml:space="preserve"> for guidance on transitioning into and o</w:t>
            </w:r>
            <w:r w:rsidRPr="00DB5740">
              <w:rPr>
                <w:b/>
                <w:bCs/>
                <w:iCs/>
                <w:color w:val="FF0000"/>
                <w:szCs w:val="24"/>
              </w:rPr>
              <w:t xml:space="preserve">ut of </w:t>
            </w:r>
            <w:r>
              <w:rPr>
                <w:b/>
                <w:bCs/>
                <w:iCs/>
                <w:color w:val="FF0000"/>
                <w:szCs w:val="24"/>
              </w:rPr>
              <w:t>Smaller Reporting Company (SRC)</w:t>
            </w:r>
            <w:r w:rsidRPr="00DB5740">
              <w:rPr>
                <w:b/>
                <w:bCs/>
                <w:iCs/>
                <w:color w:val="FF0000"/>
                <w:szCs w:val="24"/>
              </w:rPr>
              <w:t xml:space="preserve"> status.]</w:t>
            </w:r>
          </w:p>
          <w:p w14:paraId="64E706D5" w14:textId="77777777" w:rsidR="00771086" w:rsidRPr="00DB5740" w:rsidRDefault="005B5528" w:rsidP="00771086">
            <w:pPr>
              <w:autoSpaceDE w:val="0"/>
              <w:autoSpaceDN w:val="0"/>
              <w:adjustRightInd w:val="0"/>
              <w:spacing w:after="120"/>
              <w:ind w:left="51"/>
              <w:rPr>
                <w:bCs/>
                <w:iCs/>
                <w:color w:val="000000"/>
                <w:szCs w:val="24"/>
              </w:rPr>
            </w:pPr>
            <w:r w:rsidRPr="00DB5740">
              <w:rPr>
                <w:b/>
                <w:bCs/>
                <w:iCs/>
                <w:color w:val="000000"/>
                <w:szCs w:val="24"/>
              </w:rPr>
              <w:t xml:space="preserve">Exiting Accelerated Filer Status.  </w:t>
            </w:r>
            <w:r w:rsidRPr="00DB5740">
              <w:rPr>
                <w:bCs/>
                <w:iCs/>
                <w:color w:val="000000"/>
                <w:szCs w:val="24"/>
              </w:rPr>
              <w:t>Once a company becomes an accelerated filer, it will remain an accelerated filer unless the company determines at the end of a fiscal year that the aggregate worldwide market</w:t>
            </w:r>
            <w:r w:rsidRPr="00DB5740">
              <w:rPr>
                <w:bCs/>
                <w:iCs/>
                <w:color w:val="000000"/>
                <w:szCs w:val="24"/>
              </w:rPr>
              <w:t xml:space="preserve"> value of the voting and non-voting common equity held by non-affiliates of the company was less than </w:t>
            </w:r>
            <w:r w:rsidRPr="00DB5740">
              <w:rPr>
                <w:b/>
                <w:bCs/>
                <w:iCs/>
                <w:color w:val="000000"/>
                <w:szCs w:val="24"/>
                <w:u w:val="single"/>
              </w:rPr>
              <w:t>$</w:t>
            </w:r>
            <w:r>
              <w:rPr>
                <w:b/>
                <w:bCs/>
                <w:iCs/>
                <w:color w:val="000000"/>
                <w:szCs w:val="24"/>
                <w:u w:val="single"/>
              </w:rPr>
              <w:t>6</w:t>
            </w:r>
            <w:r w:rsidRPr="00DB5740">
              <w:rPr>
                <w:b/>
                <w:bCs/>
                <w:iCs/>
                <w:color w:val="000000"/>
                <w:szCs w:val="24"/>
                <w:u w:val="single"/>
              </w:rPr>
              <w:t>0 million</w:t>
            </w:r>
            <w:r w:rsidRPr="00DB5740">
              <w:rPr>
                <w:bCs/>
                <w:iCs/>
                <w:color w:val="000000"/>
                <w:szCs w:val="24"/>
              </w:rPr>
              <w:t xml:space="preserve"> as of the last business day of the company</w:t>
            </w:r>
            <w:r>
              <w:rPr>
                <w:bCs/>
                <w:iCs/>
                <w:color w:val="000000"/>
                <w:szCs w:val="24"/>
              </w:rPr>
              <w:t>’</w:t>
            </w:r>
            <w:r w:rsidRPr="00DB5740">
              <w:rPr>
                <w:bCs/>
                <w:iCs/>
                <w:color w:val="000000"/>
                <w:szCs w:val="24"/>
              </w:rPr>
              <w:t>s most recently completed second fiscal quarter.  A company making this determination becomes a non</w:t>
            </w:r>
            <w:r w:rsidRPr="00DB5740">
              <w:rPr>
                <w:bCs/>
                <w:iCs/>
                <w:color w:val="000000"/>
                <w:szCs w:val="24"/>
              </w:rPr>
              <w:t>-accelerated filer.  The company will not become an accelerated filer again unless it subsequently meets the conditions for accelerated filer status under SEC rules.</w:t>
            </w:r>
          </w:p>
          <w:p w14:paraId="0DFE0B33" w14:textId="77777777" w:rsidR="00771086" w:rsidRPr="00DB5740" w:rsidRDefault="005B5528" w:rsidP="00771086">
            <w:pPr>
              <w:autoSpaceDE w:val="0"/>
              <w:autoSpaceDN w:val="0"/>
              <w:adjustRightInd w:val="0"/>
              <w:spacing w:after="120"/>
              <w:ind w:left="51"/>
              <w:rPr>
                <w:bCs/>
                <w:iCs/>
                <w:color w:val="000000"/>
                <w:szCs w:val="24"/>
              </w:rPr>
            </w:pPr>
            <w:r w:rsidRPr="00DB5740">
              <w:rPr>
                <w:b/>
                <w:bCs/>
                <w:iCs/>
                <w:color w:val="000000"/>
                <w:szCs w:val="24"/>
              </w:rPr>
              <w:t xml:space="preserve">Exiting Large Accelerated Filer Status.  </w:t>
            </w:r>
            <w:r w:rsidRPr="00DB5740">
              <w:rPr>
                <w:bCs/>
                <w:iCs/>
                <w:color w:val="000000"/>
                <w:szCs w:val="24"/>
              </w:rPr>
              <w:t>Once a company becomes a large accelerated filer,</w:t>
            </w:r>
            <w:r w:rsidRPr="00DB5740">
              <w:rPr>
                <w:bCs/>
                <w:iCs/>
                <w:color w:val="000000"/>
                <w:szCs w:val="24"/>
              </w:rPr>
              <w:t xml:space="preserve"> it will remain a large accelerated filer unless the company determines at the end of a fiscal year that the aggregate worldwide market value of the voting and non-voting common equity held by non-affiliates of the company was less than </w:t>
            </w:r>
            <w:r w:rsidRPr="00DB5740">
              <w:rPr>
                <w:b/>
                <w:bCs/>
                <w:iCs/>
                <w:color w:val="000000"/>
                <w:szCs w:val="24"/>
                <w:u w:val="single"/>
              </w:rPr>
              <w:t>$5</w:t>
            </w:r>
            <w:r>
              <w:rPr>
                <w:b/>
                <w:bCs/>
                <w:iCs/>
                <w:color w:val="000000"/>
                <w:szCs w:val="24"/>
                <w:u w:val="single"/>
              </w:rPr>
              <w:t>6</w:t>
            </w:r>
            <w:r w:rsidRPr="00DB5740">
              <w:rPr>
                <w:b/>
                <w:bCs/>
                <w:iCs/>
                <w:color w:val="000000"/>
                <w:szCs w:val="24"/>
                <w:u w:val="single"/>
              </w:rPr>
              <w:t>0 million</w:t>
            </w:r>
            <w:r w:rsidRPr="00DB5740">
              <w:rPr>
                <w:bCs/>
                <w:iCs/>
                <w:color w:val="000000"/>
                <w:szCs w:val="24"/>
              </w:rPr>
              <w:t xml:space="preserve"> as of </w:t>
            </w:r>
            <w:r w:rsidRPr="00DB5740">
              <w:rPr>
                <w:bCs/>
                <w:iCs/>
                <w:color w:val="000000"/>
                <w:szCs w:val="24"/>
              </w:rPr>
              <w:t>the last business day of the company</w:t>
            </w:r>
            <w:r>
              <w:rPr>
                <w:bCs/>
                <w:iCs/>
                <w:color w:val="000000"/>
                <w:szCs w:val="24"/>
              </w:rPr>
              <w:t>’</w:t>
            </w:r>
            <w:r w:rsidRPr="00DB5740">
              <w:rPr>
                <w:bCs/>
                <w:iCs/>
                <w:color w:val="000000"/>
                <w:szCs w:val="24"/>
              </w:rPr>
              <w:t>s most recently completed second fiscal quarter.  If the company</w:t>
            </w:r>
            <w:r>
              <w:rPr>
                <w:bCs/>
                <w:iCs/>
                <w:color w:val="000000"/>
                <w:szCs w:val="24"/>
              </w:rPr>
              <w:t>’</w:t>
            </w:r>
            <w:r w:rsidRPr="00DB5740">
              <w:rPr>
                <w:bCs/>
                <w:iCs/>
                <w:color w:val="000000"/>
                <w:szCs w:val="24"/>
              </w:rPr>
              <w:t>s aggregate worldwide market value was $</w:t>
            </w:r>
            <w:r>
              <w:rPr>
                <w:bCs/>
                <w:iCs/>
                <w:color w:val="000000"/>
                <w:szCs w:val="24"/>
              </w:rPr>
              <w:t>6</w:t>
            </w:r>
            <w:r w:rsidRPr="00DB5740">
              <w:rPr>
                <w:bCs/>
                <w:iCs/>
                <w:color w:val="000000"/>
                <w:szCs w:val="24"/>
              </w:rPr>
              <w:t>0 million or more, but less than $5</w:t>
            </w:r>
            <w:r>
              <w:rPr>
                <w:bCs/>
                <w:iCs/>
                <w:color w:val="000000"/>
                <w:szCs w:val="24"/>
              </w:rPr>
              <w:t>6</w:t>
            </w:r>
            <w:r w:rsidRPr="00DB5740">
              <w:rPr>
                <w:bCs/>
                <w:iCs/>
                <w:color w:val="000000"/>
                <w:szCs w:val="24"/>
              </w:rPr>
              <w:t>0 million, as of the last business day of the company</w:t>
            </w:r>
            <w:r>
              <w:rPr>
                <w:bCs/>
                <w:iCs/>
                <w:color w:val="000000"/>
                <w:szCs w:val="24"/>
              </w:rPr>
              <w:t>’</w:t>
            </w:r>
            <w:r w:rsidRPr="00DB5740">
              <w:rPr>
                <w:bCs/>
                <w:iCs/>
                <w:color w:val="000000"/>
                <w:szCs w:val="24"/>
              </w:rPr>
              <w:t>s most recently complet</w:t>
            </w:r>
            <w:r w:rsidRPr="00DB5740">
              <w:rPr>
                <w:bCs/>
                <w:iCs/>
                <w:color w:val="000000"/>
                <w:szCs w:val="24"/>
              </w:rPr>
              <w:t>ed second fiscal quarter, the company will be an accelerated filer.  If the company</w:t>
            </w:r>
            <w:r>
              <w:rPr>
                <w:bCs/>
                <w:iCs/>
                <w:color w:val="000000"/>
                <w:szCs w:val="24"/>
              </w:rPr>
              <w:t>’</w:t>
            </w:r>
            <w:r w:rsidRPr="00DB5740">
              <w:rPr>
                <w:bCs/>
                <w:iCs/>
                <w:color w:val="000000"/>
                <w:szCs w:val="24"/>
              </w:rPr>
              <w:t>s aggregate worldwide market value was less than $</w:t>
            </w:r>
            <w:r>
              <w:rPr>
                <w:bCs/>
                <w:iCs/>
                <w:color w:val="000000"/>
                <w:szCs w:val="24"/>
              </w:rPr>
              <w:t>6</w:t>
            </w:r>
            <w:r w:rsidRPr="00DB5740">
              <w:rPr>
                <w:bCs/>
                <w:iCs/>
                <w:color w:val="000000"/>
                <w:szCs w:val="24"/>
              </w:rPr>
              <w:t>0 million, as of the last business day of the company</w:t>
            </w:r>
            <w:r>
              <w:rPr>
                <w:bCs/>
                <w:iCs/>
                <w:color w:val="000000"/>
                <w:szCs w:val="24"/>
              </w:rPr>
              <w:t>’</w:t>
            </w:r>
            <w:r w:rsidRPr="00DB5740">
              <w:rPr>
                <w:bCs/>
                <w:iCs/>
                <w:color w:val="000000"/>
                <w:szCs w:val="24"/>
              </w:rPr>
              <w:t>s most recently completed second fiscal quarter, the company will b</w:t>
            </w:r>
            <w:r w:rsidRPr="00DB5740">
              <w:rPr>
                <w:bCs/>
                <w:iCs/>
                <w:color w:val="000000"/>
                <w:szCs w:val="24"/>
              </w:rPr>
              <w:t>e a non-accelerated filer.  The company will not become a large accelerated filer again unless it subsequently meets the conditions for large accelerated filer status under SEC rules.</w:t>
            </w:r>
          </w:p>
          <w:p w14:paraId="660053A1" w14:textId="77777777" w:rsidR="00771086" w:rsidRPr="00DB5740" w:rsidRDefault="005B5528" w:rsidP="00771086">
            <w:pPr>
              <w:autoSpaceDE w:val="0"/>
              <w:autoSpaceDN w:val="0"/>
              <w:adjustRightInd w:val="0"/>
              <w:spacing w:after="120"/>
              <w:ind w:left="51"/>
              <w:rPr>
                <w:bCs/>
                <w:iCs/>
                <w:color w:val="000000"/>
                <w:szCs w:val="24"/>
              </w:rPr>
            </w:pPr>
            <w:r w:rsidRPr="00DB5740">
              <w:rPr>
                <w:b/>
                <w:bCs/>
                <w:iCs/>
                <w:color w:val="000000"/>
                <w:szCs w:val="24"/>
              </w:rPr>
              <w:t>How Change of Status Affects Filing Deadlines: Acceleration of Deadlines</w:t>
            </w:r>
            <w:r w:rsidRPr="00DB5740">
              <w:rPr>
                <w:b/>
                <w:bCs/>
                <w:iCs/>
                <w:color w:val="000000"/>
                <w:szCs w:val="24"/>
              </w:rPr>
              <w:t xml:space="preserve">.  </w:t>
            </w:r>
            <w:r w:rsidRPr="00DB5740">
              <w:rPr>
                <w:bCs/>
                <w:iCs/>
                <w:color w:val="000000"/>
                <w:szCs w:val="24"/>
              </w:rPr>
              <w:t>The determination at the end of a company</w:t>
            </w:r>
            <w:r>
              <w:rPr>
                <w:bCs/>
                <w:iCs/>
                <w:color w:val="000000"/>
                <w:szCs w:val="24"/>
              </w:rPr>
              <w:t>’</w:t>
            </w:r>
            <w:r w:rsidRPr="00DB5740">
              <w:rPr>
                <w:bCs/>
                <w:iCs/>
                <w:color w:val="000000"/>
                <w:szCs w:val="24"/>
              </w:rPr>
              <w:t>s fiscal year for whether a non-accelerated filer becomes an accelerated filer, or whether a non-accelerated filer or accelerated filer becomes a large accelerated filer, governs the deadlines for the annual rep</w:t>
            </w:r>
            <w:r w:rsidRPr="00DB5740">
              <w:rPr>
                <w:bCs/>
                <w:iCs/>
                <w:color w:val="000000"/>
                <w:szCs w:val="24"/>
              </w:rPr>
              <w:t xml:space="preserve">ort to be filed for that fiscal year, the quarterly and annual reports to be filed for the subsequent fiscal year and all annual and quarterly reports to be filed thereafter while the company remains an accelerated filer or large accelerated filer.  </w:t>
            </w:r>
            <w:r>
              <w:rPr>
                <w:bCs/>
                <w:iCs/>
                <w:color w:val="000000"/>
                <w:szCs w:val="24"/>
              </w:rPr>
              <w:t>A</w:t>
            </w:r>
            <w:r w:rsidRPr="00DB5740">
              <w:rPr>
                <w:bCs/>
                <w:iCs/>
                <w:color w:val="000000"/>
                <w:szCs w:val="24"/>
              </w:rPr>
              <w:t xml:space="preserve"> comp</w:t>
            </w:r>
            <w:r w:rsidRPr="00DB5740">
              <w:rPr>
                <w:bCs/>
                <w:iCs/>
                <w:color w:val="000000"/>
                <w:szCs w:val="24"/>
              </w:rPr>
              <w:t xml:space="preserve">any that no longer qualifies as a smaller reporting company as of the last day of its second fiscal quarter may continue to use the </w:t>
            </w:r>
            <w:r w:rsidRPr="00D51623">
              <w:rPr>
                <w:bCs/>
                <w:iCs/>
                <w:color w:val="000000"/>
                <w:szCs w:val="24"/>
              </w:rPr>
              <w:t>scaled disclosures</w:t>
            </w:r>
            <w:r w:rsidRPr="00DB5740">
              <w:rPr>
                <w:bCs/>
                <w:iCs/>
                <w:color w:val="000000"/>
                <w:szCs w:val="24"/>
              </w:rPr>
              <w:t xml:space="preserve"> permitted for a smaller reporting company through its annual report on Form </w:t>
            </w:r>
            <w:r>
              <w:rPr>
                <w:bCs/>
                <w:iCs/>
                <w:color w:val="000000"/>
                <w:szCs w:val="24"/>
              </w:rPr>
              <w:t>10</w:t>
            </w:r>
            <w:r>
              <w:rPr>
                <w:bCs/>
                <w:iCs/>
                <w:color w:val="000000"/>
                <w:szCs w:val="24"/>
              </w:rPr>
              <w:noBreakHyphen/>
              <w:t>K</w:t>
            </w:r>
            <w:r w:rsidRPr="00DB5740">
              <w:rPr>
                <w:bCs/>
                <w:iCs/>
                <w:color w:val="000000"/>
                <w:szCs w:val="24"/>
              </w:rPr>
              <w:t xml:space="preserve"> for that year, and then </w:t>
            </w:r>
            <w:r w:rsidRPr="00DB5740">
              <w:rPr>
                <w:bCs/>
                <w:iCs/>
                <w:color w:val="000000"/>
                <w:szCs w:val="24"/>
              </w:rPr>
              <w:t xml:space="preserve">begin providing non-scaled larger company disclosure in the first Form 10-Q of the next fiscal year.  However, the </w:t>
            </w:r>
            <w:r w:rsidRPr="00DB5740">
              <w:rPr>
                <w:b/>
                <w:bCs/>
                <w:iCs/>
                <w:color w:val="000000"/>
                <w:szCs w:val="24"/>
              </w:rPr>
              <w:t>due date</w:t>
            </w:r>
            <w:r w:rsidRPr="00DB5740">
              <w:rPr>
                <w:bCs/>
                <w:iCs/>
                <w:color w:val="000000"/>
                <w:szCs w:val="24"/>
              </w:rPr>
              <w:t xml:space="preserve"> for the company</w:t>
            </w:r>
            <w:r>
              <w:rPr>
                <w:bCs/>
                <w:iCs/>
                <w:color w:val="000000"/>
                <w:szCs w:val="24"/>
              </w:rPr>
              <w:t>’</w:t>
            </w:r>
            <w:r w:rsidRPr="00DB5740">
              <w:rPr>
                <w:bCs/>
                <w:iCs/>
                <w:color w:val="000000"/>
                <w:szCs w:val="24"/>
              </w:rPr>
              <w:t xml:space="preserve">s Form </w:t>
            </w:r>
            <w:r>
              <w:rPr>
                <w:bCs/>
                <w:iCs/>
                <w:color w:val="000000"/>
                <w:szCs w:val="24"/>
              </w:rPr>
              <w:t>10</w:t>
            </w:r>
            <w:r>
              <w:rPr>
                <w:bCs/>
                <w:iCs/>
                <w:color w:val="000000"/>
                <w:szCs w:val="24"/>
              </w:rPr>
              <w:noBreakHyphen/>
              <w:t>K</w:t>
            </w:r>
            <w:r w:rsidRPr="00DB5740">
              <w:rPr>
                <w:bCs/>
                <w:iCs/>
                <w:color w:val="000000"/>
                <w:szCs w:val="24"/>
              </w:rPr>
              <w:t xml:space="preserve"> annual report will be based on the company</w:t>
            </w:r>
            <w:r>
              <w:rPr>
                <w:bCs/>
                <w:iCs/>
                <w:color w:val="000000"/>
                <w:szCs w:val="24"/>
              </w:rPr>
              <w:t>’</w:t>
            </w:r>
            <w:r w:rsidRPr="00DB5740">
              <w:rPr>
                <w:bCs/>
                <w:iCs/>
                <w:color w:val="000000"/>
                <w:szCs w:val="24"/>
              </w:rPr>
              <w:t>s filing status as of the last day of the fiscal year.</w:t>
            </w:r>
          </w:p>
          <w:p w14:paraId="359538DB" w14:textId="77777777" w:rsidR="00771086" w:rsidRPr="00DB5740" w:rsidRDefault="005B5528" w:rsidP="00771086">
            <w:pPr>
              <w:autoSpaceDE w:val="0"/>
              <w:autoSpaceDN w:val="0"/>
              <w:adjustRightInd w:val="0"/>
              <w:spacing w:after="240"/>
              <w:rPr>
                <w:b/>
                <w:bCs/>
                <w:i/>
                <w:smallCaps/>
                <w:sz w:val="26"/>
                <w:szCs w:val="26"/>
                <w:u w:val="single"/>
              </w:rPr>
            </w:pPr>
            <w:r w:rsidRPr="00DB5740">
              <w:rPr>
                <w:b/>
                <w:bCs/>
                <w:iCs/>
                <w:color w:val="000000"/>
                <w:szCs w:val="24"/>
              </w:rPr>
              <w:t>How Ch</w:t>
            </w:r>
            <w:r w:rsidRPr="00DB5740">
              <w:rPr>
                <w:b/>
                <w:bCs/>
                <w:iCs/>
                <w:color w:val="000000"/>
                <w:szCs w:val="24"/>
              </w:rPr>
              <w:t xml:space="preserve">ange of Status Affects Filing Deadlines: Deceleration of Deadlines.  </w:t>
            </w:r>
            <w:r w:rsidRPr="00DB5740">
              <w:rPr>
                <w:bCs/>
                <w:iCs/>
                <w:color w:val="000000"/>
                <w:szCs w:val="24"/>
              </w:rPr>
              <w:t>The determination at the end of the company</w:t>
            </w:r>
            <w:r>
              <w:rPr>
                <w:bCs/>
                <w:iCs/>
                <w:color w:val="000000"/>
                <w:szCs w:val="24"/>
              </w:rPr>
              <w:t>’</w:t>
            </w:r>
            <w:r w:rsidRPr="00DB5740">
              <w:rPr>
                <w:bCs/>
                <w:iCs/>
                <w:color w:val="000000"/>
                <w:szCs w:val="24"/>
              </w:rPr>
              <w:t xml:space="preserve">s fiscal year for whether an accelerated filer becomes a non-accelerated filer, or a large accelerated filer becomes an accelerated filer or a </w:t>
            </w:r>
            <w:r w:rsidRPr="00DB5740">
              <w:rPr>
                <w:bCs/>
                <w:iCs/>
                <w:color w:val="000000"/>
                <w:szCs w:val="24"/>
              </w:rPr>
              <w:t>non-accelerated filer, governs the deadlines for the annual report to be filed for that fiscal year, the quarterly and annual reports to be filed for the subsequent fiscal year and all annual and quarterly reports to be filed thereafter while the company r</w:t>
            </w:r>
            <w:r w:rsidRPr="00DB5740">
              <w:rPr>
                <w:bCs/>
                <w:iCs/>
                <w:color w:val="000000"/>
                <w:szCs w:val="24"/>
              </w:rPr>
              <w:t>emains an accelerated filer or non-accelerated filer.</w:t>
            </w:r>
          </w:p>
        </w:tc>
      </w:tr>
      <w:tr w:rsidR="00000000" w14:paraId="2C189681" w14:textId="77777777" w:rsidTr="006D5F83">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auto"/>
          </w:tcPr>
          <w:p w14:paraId="45909D7F" w14:textId="77777777" w:rsidR="00771086" w:rsidRPr="008F12D6" w:rsidRDefault="005B5528" w:rsidP="00771086">
            <w:pPr>
              <w:spacing w:after="120"/>
              <w:rPr>
                <w:rFonts w:cs="Times New Roman"/>
                <w:sz w:val="24"/>
                <w:szCs w:val="24"/>
              </w:rPr>
            </w:pPr>
            <w:r w:rsidRPr="008F12D6">
              <w:rPr>
                <w:rFonts w:cs="Times New Roman"/>
                <w:b/>
                <w:bCs/>
                <w:sz w:val="24"/>
                <w:szCs w:val="24"/>
              </w:rPr>
              <w:lastRenderedPageBreak/>
              <w:t>Specialty Counsel Disclosure Review and Update</w:t>
            </w:r>
          </w:p>
          <w:p w14:paraId="57F6E1E9" w14:textId="77777777" w:rsidR="00771086" w:rsidRPr="008F12D6" w:rsidRDefault="005B5528" w:rsidP="00771086">
            <w:pPr>
              <w:spacing w:after="120"/>
              <w:rPr>
                <w:rFonts w:cs="Times New Roman"/>
              </w:rPr>
            </w:pPr>
            <w:r w:rsidRPr="008F12D6">
              <w:rPr>
                <w:rFonts w:cs="Times New Roman"/>
                <w:b/>
                <w:bCs/>
              </w:rPr>
              <w:t>Determine whether review of disclosure in the Form 10-K by lawyers in specialty practices is necessary.</w:t>
            </w:r>
            <w:r w:rsidRPr="008F12D6">
              <w:rPr>
                <w:rFonts w:cs="Times New Roman"/>
              </w:rPr>
              <w:t xml:space="preserve">  If so, coordinate review with specialty counsel a</w:t>
            </w:r>
            <w:r w:rsidRPr="008F12D6">
              <w:rPr>
                <w:rFonts w:cs="Times New Roman"/>
              </w:rPr>
              <w:t xml:space="preserve">nd confirm either that no disclosure updates are necessary or that </w:t>
            </w:r>
            <w:r>
              <w:rPr>
                <w:rFonts w:cs="Times New Roman"/>
              </w:rPr>
              <w:t xml:space="preserve">appropriate </w:t>
            </w:r>
            <w:r w:rsidRPr="008F12D6">
              <w:rPr>
                <w:rFonts w:cs="Times New Roman"/>
              </w:rPr>
              <w:t>updates are reflected</w:t>
            </w:r>
            <w:r>
              <w:rPr>
                <w:rFonts w:cs="Times New Roman"/>
              </w:rPr>
              <w:t xml:space="preserve"> in the Form 10-K</w:t>
            </w:r>
            <w:r w:rsidRPr="008F12D6">
              <w:rPr>
                <w:rFonts w:cs="Times New Roman"/>
              </w:rPr>
              <w:t>.</w:t>
            </w:r>
          </w:p>
          <w:p w14:paraId="35457A24" w14:textId="77777777" w:rsidR="00771086" w:rsidRPr="008F12D6" w:rsidRDefault="005B5528" w:rsidP="00771086">
            <w:pPr>
              <w:spacing w:after="120"/>
              <w:rPr>
                <w:rFonts w:cs="Times New Roman"/>
              </w:rPr>
            </w:pPr>
            <w:r w:rsidRPr="008F12D6">
              <w:rPr>
                <w:rFonts w:cs="Times New Roman"/>
                <w:b/>
                <w:bCs/>
              </w:rPr>
              <w:t>Reminder</w:t>
            </w:r>
            <w:r w:rsidRPr="008F12D6">
              <w:rPr>
                <w:rFonts w:cs="Times New Roman"/>
              </w:rPr>
              <w:t xml:space="preserve">: except in limited specific instances, disclosure in the Form 10-K speaks as of the </w:t>
            </w:r>
            <w:r w:rsidRPr="00082460">
              <w:rPr>
                <w:rFonts w:cs="Times New Roman"/>
                <w:b/>
                <w:bCs/>
              </w:rPr>
              <w:t>filing date</w:t>
            </w:r>
            <w:r w:rsidRPr="008F12D6">
              <w:rPr>
                <w:rFonts w:cs="Times New Roman"/>
              </w:rPr>
              <w:t>, not as of the end of the fiscal</w:t>
            </w:r>
            <w:r w:rsidRPr="008F12D6">
              <w:rPr>
                <w:rFonts w:cs="Times New Roman"/>
              </w:rPr>
              <w:t xml:space="preserve"> year.</w:t>
            </w:r>
          </w:p>
          <w:p w14:paraId="456B9065" w14:textId="77777777" w:rsidR="00771086" w:rsidRPr="008F12D6" w:rsidRDefault="005B5528" w:rsidP="00771086">
            <w:pPr>
              <w:spacing w:after="120"/>
              <w:rPr>
                <w:rFonts w:cs="Times New Roman"/>
                <w:b/>
                <w:bCs/>
              </w:rPr>
            </w:pPr>
            <w:r w:rsidRPr="008F12D6">
              <w:rPr>
                <w:rFonts w:cs="Times New Roman"/>
                <w:b/>
                <w:bCs/>
              </w:rPr>
              <w:t>What disclosure specialty counsel should review</w:t>
            </w:r>
            <w:r w:rsidRPr="008F12D6">
              <w:rPr>
                <w:rFonts w:cs="Times New Roman"/>
              </w:rPr>
              <w:t xml:space="preserve"> will vary, depending on the nature of the matter, the level of involvement by the specialty counsel, and expectations and understandings about the scope of review for the specific disclosure and the Fo</w:t>
            </w:r>
            <w:r w:rsidRPr="008F12D6">
              <w:rPr>
                <w:rFonts w:cs="Times New Roman"/>
              </w:rPr>
              <w:t xml:space="preserve">rm 10-K generally.  </w:t>
            </w:r>
            <w:r w:rsidRPr="008F12D6">
              <w:rPr>
                <w:rFonts w:cs="Times New Roman"/>
                <w:b/>
                <w:bCs/>
              </w:rPr>
              <w:t>The scope and nature of review must be clearly communicated and understood by company management, in-house counsel (if applicable) and outside counsel.</w:t>
            </w:r>
          </w:p>
          <w:p w14:paraId="4A8F39F3" w14:textId="77777777" w:rsidR="00771086" w:rsidRPr="008F12D6" w:rsidRDefault="005B5528" w:rsidP="00771086">
            <w:pPr>
              <w:spacing w:after="120"/>
              <w:rPr>
                <w:rFonts w:cs="Times New Roman"/>
              </w:rPr>
            </w:pPr>
            <w:r w:rsidRPr="008F12D6">
              <w:rPr>
                <w:rFonts w:cs="Times New Roman"/>
                <w:b/>
                <w:bCs/>
              </w:rPr>
              <w:t>Examples of disclosure</w:t>
            </w:r>
            <w:r w:rsidRPr="008F12D6">
              <w:rPr>
                <w:rFonts w:cs="Times New Roman"/>
              </w:rPr>
              <w:t xml:space="preserve"> that may require review by specialty counsel may include (see</w:t>
            </w:r>
            <w:r w:rsidRPr="008F12D6">
              <w:rPr>
                <w:rFonts w:cs="Times New Roman"/>
              </w:rPr>
              <w:t xml:space="preserve"> also suggested guidance below):</w:t>
            </w:r>
          </w:p>
          <w:p w14:paraId="73AEEF26" w14:textId="77777777" w:rsidR="00771086" w:rsidRPr="008F12D6" w:rsidRDefault="005B5528" w:rsidP="00771086">
            <w:pPr>
              <w:numPr>
                <w:ilvl w:val="0"/>
                <w:numId w:val="39"/>
              </w:numPr>
              <w:spacing w:after="120"/>
              <w:ind w:left="342" w:hanging="162"/>
              <w:rPr>
                <w:rFonts w:cs="Times New Roman"/>
              </w:rPr>
            </w:pPr>
            <w:r w:rsidRPr="008F12D6">
              <w:rPr>
                <w:rFonts w:cs="Times New Roman"/>
              </w:rPr>
              <w:t>Litigation, including both updated disclosure for ongoing litigation and disclosure of new litigation;</w:t>
            </w:r>
          </w:p>
          <w:p w14:paraId="191976C6" w14:textId="77777777" w:rsidR="00771086" w:rsidRPr="008F12D6" w:rsidRDefault="005B5528" w:rsidP="00771086">
            <w:pPr>
              <w:numPr>
                <w:ilvl w:val="0"/>
                <w:numId w:val="39"/>
              </w:numPr>
              <w:spacing w:after="120"/>
              <w:ind w:left="342" w:hanging="162"/>
              <w:rPr>
                <w:rFonts w:cs="Times New Roman"/>
              </w:rPr>
            </w:pPr>
            <w:r w:rsidRPr="008F12D6">
              <w:rPr>
                <w:rFonts w:cs="Times New Roman"/>
              </w:rPr>
              <w:t>Food and Drug Administration review and approval of drugs and medical devices and the status of any related clinical tri</w:t>
            </w:r>
            <w:r w:rsidRPr="008F12D6">
              <w:rPr>
                <w:rFonts w:cs="Times New Roman"/>
              </w:rPr>
              <w:t>als;</w:t>
            </w:r>
          </w:p>
          <w:p w14:paraId="00EE480D" w14:textId="77777777" w:rsidR="00771086" w:rsidRPr="008F12D6" w:rsidRDefault="005B5528" w:rsidP="00771086">
            <w:pPr>
              <w:numPr>
                <w:ilvl w:val="0"/>
                <w:numId w:val="39"/>
              </w:numPr>
              <w:spacing w:after="120"/>
              <w:ind w:left="342" w:hanging="162"/>
              <w:rPr>
                <w:rFonts w:cs="Times New Roman"/>
              </w:rPr>
            </w:pPr>
            <w:r w:rsidRPr="008F12D6">
              <w:rPr>
                <w:rFonts w:cs="Times New Roman"/>
              </w:rPr>
              <w:t>Federal and state regulation of banks, bank holding companies, broker-dealers, investment advisors and other financial service companies;</w:t>
            </w:r>
          </w:p>
          <w:p w14:paraId="504EBE17" w14:textId="77777777" w:rsidR="00771086" w:rsidRPr="008F12D6" w:rsidRDefault="005B5528" w:rsidP="00771086">
            <w:pPr>
              <w:numPr>
                <w:ilvl w:val="0"/>
                <w:numId w:val="39"/>
              </w:numPr>
              <w:spacing w:after="120"/>
              <w:ind w:left="342" w:hanging="162"/>
              <w:rPr>
                <w:rFonts w:cs="Times New Roman"/>
              </w:rPr>
            </w:pPr>
            <w:r w:rsidRPr="008F12D6">
              <w:rPr>
                <w:rFonts w:cs="Times New Roman"/>
              </w:rPr>
              <w:t>Federal income tax consequences of equity and/or debt investments in the company (especially relevant for REITs w</w:t>
            </w:r>
            <w:r w:rsidRPr="008F12D6">
              <w:rPr>
                <w:rFonts w:cs="Times New Roman"/>
              </w:rPr>
              <w:t>ith ongoing offerings such as ATM equity programs or other offerings for which a prospectus supplement has been filed and is updated only by the company</w:t>
            </w:r>
            <w:r>
              <w:rPr>
                <w:rFonts w:cs="Times New Roman"/>
              </w:rPr>
              <w:t>’</w:t>
            </w:r>
            <w:r w:rsidRPr="008F12D6">
              <w:rPr>
                <w:rFonts w:cs="Times New Roman"/>
              </w:rPr>
              <w:t>s Form 10-K, Form 10-Q and Form 8-K reports);</w:t>
            </w:r>
          </w:p>
          <w:p w14:paraId="77DF4801" w14:textId="77777777" w:rsidR="00771086" w:rsidRPr="008F12D6" w:rsidRDefault="005B5528" w:rsidP="00771086">
            <w:pPr>
              <w:numPr>
                <w:ilvl w:val="0"/>
                <w:numId w:val="39"/>
              </w:numPr>
              <w:spacing w:after="120"/>
              <w:ind w:left="342" w:hanging="162"/>
              <w:rPr>
                <w:rFonts w:cs="Times New Roman"/>
              </w:rPr>
            </w:pPr>
            <w:r w:rsidRPr="008F12D6">
              <w:rPr>
                <w:rFonts w:cs="Times New Roman"/>
              </w:rPr>
              <w:t>Federal and state environmental regulation; and</w:t>
            </w:r>
          </w:p>
          <w:p w14:paraId="4BDA36E3" w14:textId="77777777" w:rsidR="00771086" w:rsidRPr="008F12D6" w:rsidRDefault="005B5528" w:rsidP="00771086">
            <w:pPr>
              <w:numPr>
                <w:ilvl w:val="0"/>
                <w:numId w:val="39"/>
              </w:numPr>
              <w:spacing w:after="120"/>
              <w:ind w:left="342" w:hanging="162"/>
              <w:rPr>
                <w:rFonts w:cs="Times New Roman"/>
              </w:rPr>
            </w:pPr>
            <w:r w:rsidRPr="008F12D6">
              <w:rPr>
                <w:rFonts w:cs="Times New Roman"/>
              </w:rPr>
              <w:t>In each c</w:t>
            </w:r>
            <w:r w:rsidRPr="008F12D6">
              <w:rPr>
                <w:rFonts w:cs="Times New Roman"/>
              </w:rPr>
              <w:t>ase, any risk factor disclosure related to the relevant disclosure.</w:t>
            </w:r>
          </w:p>
          <w:p w14:paraId="0D788B4B" w14:textId="77777777" w:rsidR="00771086" w:rsidRPr="008F12D6" w:rsidRDefault="005B5528" w:rsidP="00771086">
            <w:pPr>
              <w:spacing w:after="120"/>
              <w:rPr>
                <w:rFonts w:cs="Times New Roman"/>
              </w:rPr>
            </w:pPr>
            <w:r w:rsidRPr="008F12D6">
              <w:rPr>
                <w:rFonts w:cs="Times New Roman"/>
                <w:b/>
                <w:bCs/>
              </w:rPr>
              <w:t>If the company is eligible to use Form S-3 for primary offerings,</w:t>
            </w:r>
            <w:r w:rsidRPr="008F12D6">
              <w:rPr>
                <w:rFonts w:cs="Times New Roman"/>
              </w:rPr>
              <w:t xml:space="preserve"> review of the disclosure in the Form 10-K may require specialty counsel to read </w:t>
            </w:r>
            <w:r>
              <w:rPr>
                <w:rFonts w:cs="Times New Roman"/>
              </w:rPr>
              <w:t xml:space="preserve">also </w:t>
            </w:r>
            <w:r w:rsidRPr="008F12D6">
              <w:rPr>
                <w:rFonts w:cs="Times New Roman"/>
              </w:rPr>
              <w:t xml:space="preserve">earlier disclosure on the topic that </w:t>
            </w:r>
            <w:r w:rsidRPr="008F12D6">
              <w:rPr>
                <w:rFonts w:cs="Times New Roman"/>
              </w:rPr>
              <w:t>was contained in reports and offering documents filed by the company after the prior year Form 10-K report was filed in order establish the current state of the company</w:t>
            </w:r>
            <w:r>
              <w:rPr>
                <w:rFonts w:cs="Times New Roman"/>
              </w:rPr>
              <w:t>’</w:t>
            </w:r>
            <w:r w:rsidRPr="008F12D6">
              <w:rPr>
                <w:rFonts w:cs="Times New Roman"/>
              </w:rPr>
              <w:t>s disclosure on the relevant topic.  This may include review of the following company S</w:t>
            </w:r>
            <w:r w:rsidRPr="008F12D6">
              <w:rPr>
                <w:rFonts w:cs="Times New Roman"/>
              </w:rPr>
              <w:t>EC filings:</w:t>
            </w:r>
          </w:p>
          <w:p w14:paraId="64847424" w14:textId="77777777" w:rsidR="00771086" w:rsidRPr="008F12D6" w:rsidRDefault="005B5528" w:rsidP="00771086">
            <w:pPr>
              <w:numPr>
                <w:ilvl w:val="0"/>
                <w:numId w:val="39"/>
              </w:numPr>
              <w:spacing w:after="120"/>
              <w:ind w:left="342" w:hanging="162"/>
              <w:rPr>
                <w:rFonts w:cs="Times New Roman"/>
              </w:rPr>
            </w:pPr>
            <w:r w:rsidRPr="008F12D6">
              <w:rPr>
                <w:rFonts w:cs="Times New Roman"/>
              </w:rPr>
              <w:t>The most recent Form 10-Q quarterly report;</w:t>
            </w:r>
          </w:p>
          <w:p w14:paraId="48687640" w14:textId="77777777" w:rsidR="00771086" w:rsidRPr="008F12D6" w:rsidRDefault="005B5528" w:rsidP="00771086">
            <w:pPr>
              <w:numPr>
                <w:ilvl w:val="0"/>
                <w:numId w:val="39"/>
              </w:numPr>
              <w:spacing w:after="120"/>
              <w:ind w:left="342" w:hanging="162"/>
              <w:rPr>
                <w:rFonts w:cs="Times New Roman"/>
              </w:rPr>
            </w:pPr>
            <w:r w:rsidRPr="008F12D6">
              <w:rPr>
                <w:rFonts w:cs="Times New Roman"/>
              </w:rPr>
              <w:t>Form 8-K Current Reports filed since the most recent Form 10-Q; and</w:t>
            </w:r>
          </w:p>
          <w:p w14:paraId="6A8D41AD" w14:textId="77777777" w:rsidR="00771086" w:rsidRPr="008F12D6" w:rsidRDefault="005B5528" w:rsidP="00771086">
            <w:pPr>
              <w:numPr>
                <w:ilvl w:val="0"/>
                <w:numId w:val="39"/>
              </w:numPr>
              <w:spacing w:after="120"/>
              <w:ind w:left="342" w:hanging="162"/>
              <w:rPr>
                <w:rFonts w:cs="Times New Roman"/>
              </w:rPr>
            </w:pPr>
            <w:r w:rsidRPr="008F12D6">
              <w:rPr>
                <w:rFonts w:cs="Times New Roman"/>
              </w:rPr>
              <w:t>The most recent prospectus supplement and/or registration statement</w:t>
            </w:r>
            <w:r>
              <w:rPr>
                <w:rFonts w:cs="Times New Roman"/>
              </w:rPr>
              <w:t>.</w:t>
            </w:r>
          </w:p>
          <w:p w14:paraId="481D6E2D" w14:textId="77777777" w:rsidR="00771086" w:rsidRPr="00C9576D" w:rsidRDefault="005B5528" w:rsidP="00771086">
            <w:pPr>
              <w:spacing w:after="120"/>
              <w:rPr>
                <w:i/>
                <w:iCs/>
                <w:smallCaps/>
                <w:sz w:val="26"/>
                <w:szCs w:val="26"/>
              </w:rPr>
            </w:pPr>
            <w:r w:rsidRPr="00C9576D">
              <w:rPr>
                <w:rFonts w:cs="Times New Roman"/>
                <w:i/>
                <w:iCs/>
              </w:rPr>
              <w:t>Continued below</w:t>
            </w:r>
          </w:p>
        </w:tc>
      </w:tr>
      <w:tr w:rsidR="00000000" w14:paraId="7D9297AD" w14:textId="77777777" w:rsidTr="006D5F83">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auto"/>
          </w:tcPr>
          <w:p w14:paraId="4652AAC1" w14:textId="77777777" w:rsidR="00771086" w:rsidRPr="008F12D6" w:rsidRDefault="005B5528" w:rsidP="00771086">
            <w:pPr>
              <w:spacing w:after="120"/>
              <w:rPr>
                <w:rFonts w:cs="Times New Roman"/>
                <w:sz w:val="24"/>
                <w:szCs w:val="24"/>
              </w:rPr>
            </w:pPr>
            <w:r w:rsidRPr="008F12D6">
              <w:rPr>
                <w:rFonts w:cs="Times New Roman"/>
                <w:b/>
                <w:bCs/>
                <w:sz w:val="24"/>
                <w:szCs w:val="24"/>
              </w:rPr>
              <w:lastRenderedPageBreak/>
              <w:t>Specialty Counsel Disclosure Review and Update</w:t>
            </w:r>
          </w:p>
          <w:p w14:paraId="6C6D8A6C" w14:textId="77777777" w:rsidR="00771086" w:rsidRPr="00D22DFD" w:rsidRDefault="005B5528" w:rsidP="00771086">
            <w:pPr>
              <w:spacing w:after="120"/>
              <w:rPr>
                <w:rFonts w:cs="Times New Roman"/>
              </w:rPr>
            </w:pPr>
            <w:r w:rsidRPr="00D22DFD">
              <w:rPr>
                <w:rFonts w:cs="Times New Roman"/>
                <w:b/>
                <w:bCs/>
              </w:rPr>
              <w:t xml:space="preserve">Review of company disclosure and statements not contained in SEC filings. </w:t>
            </w:r>
            <w:r w:rsidRPr="00D22DFD">
              <w:rPr>
                <w:rFonts w:cs="Times New Roman"/>
              </w:rPr>
              <w:t xml:space="preserve"> The preceding paragraph addresses disclosure in company filings that were incorporated by reference into Form S-3 registration statements during the fiscal year covered by the Form</w:t>
            </w:r>
            <w:r w:rsidRPr="00D22DFD">
              <w:rPr>
                <w:rFonts w:cs="Times New Roman"/>
              </w:rPr>
              <w:t xml:space="preserve"> 10-K that is being reviewed.  The company may </w:t>
            </w:r>
            <w:r>
              <w:rPr>
                <w:rFonts w:cs="Times New Roman"/>
              </w:rPr>
              <w:t>have</w:t>
            </w:r>
            <w:r w:rsidRPr="00D22DFD">
              <w:rPr>
                <w:rFonts w:cs="Times New Roman"/>
              </w:rPr>
              <w:t xml:space="preserve"> disclosed information or made statements that were not contained in an SEC filing but are related to the disclosure under review by specialty counsel.  Depending on the circumstances, it may be appropriat</w:t>
            </w:r>
            <w:r w:rsidRPr="00D22DFD">
              <w:rPr>
                <w:rFonts w:cs="Times New Roman"/>
              </w:rPr>
              <w:t>e to have a discussion that includes the company, the specialty counsel and the corporate/securities lawyers who are handling the primary review of the Form 10</w:t>
            </w:r>
            <w:r w:rsidRPr="00D22DFD">
              <w:rPr>
                <w:rFonts w:cs="Times New Roman"/>
              </w:rPr>
              <w:noBreakHyphen/>
              <w:t>K to determine whether it would be helpful for specialty counsel to review these other public di</w:t>
            </w:r>
            <w:r w:rsidRPr="00D22DFD">
              <w:rPr>
                <w:rFonts w:cs="Times New Roman"/>
              </w:rPr>
              <w:t xml:space="preserve">sclosures that were </w:t>
            </w:r>
            <w:r w:rsidRPr="00D22DFD">
              <w:rPr>
                <w:rFonts w:cs="Times New Roman"/>
                <w:u w:val="single"/>
              </w:rPr>
              <w:t>not</w:t>
            </w:r>
            <w:r w:rsidRPr="00D22DFD">
              <w:rPr>
                <w:rFonts w:cs="Times New Roman"/>
              </w:rPr>
              <w:t xml:space="preserve"> contained in SEC filings.  This could include a broad variety of materials.  Examples could include the following:</w:t>
            </w:r>
          </w:p>
          <w:p w14:paraId="4164490C" w14:textId="77777777" w:rsidR="00771086" w:rsidRPr="00D22DFD" w:rsidRDefault="005B5528" w:rsidP="00771086">
            <w:pPr>
              <w:numPr>
                <w:ilvl w:val="0"/>
                <w:numId w:val="39"/>
              </w:numPr>
              <w:spacing w:after="120"/>
              <w:rPr>
                <w:rFonts w:cs="Times New Roman"/>
              </w:rPr>
            </w:pPr>
            <w:r w:rsidRPr="00D22DFD">
              <w:rPr>
                <w:rFonts w:cs="Times New Roman"/>
              </w:rPr>
              <w:t>earnings releases furnished (</w:t>
            </w:r>
            <w:r w:rsidRPr="00D22DFD">
              <w:rPr>
                <w:rFonts w:cs="Times New Roman"/>
                <w:i/>
                <w:iCs/>
              </w:rPr>
              <w:t xml:space="preserve">i.e., </w:t>
            </w:r>
            <w:r w:rsidRPr="00D22DFD">
              <w:rPr>
                <w:rFonts w:cs="Times New Roman"/>
              </w:rPr>
              <w:t>not filed) under Item 2.02 of Form 8</w:t>
            </w:r>
            <w:r w:rsidRPr="00D22DFD">
              <w:rPr>
                <w:rFonts w:cs="Times New Roman"/>
              </w:rPr>
              <w:noBreakHyphen/>
              <w:t>K;</w:t>
            </w:r>
          </w:p>
          <w:p w14:paraId="3F5315EB" w14:textId="77777777" w:rsidR="00771086" w:rsidRPr="00D22DFD" w:rsidRDefault="005B5528" w:rsidP="00771086">
            <w:pPr>
              <w:numPr>
                <w:ilvl w:val="0"/>
                <w:numId w:val="39"/>
              </w:numPr>
              <w:spacing w:after="120"/>
              <w:rPr>
                <w:rFonts w:cs="Times New Roman"/>
              </w:rPr>
            </w:pPr>
            <w:r w:rsidRPr="00D22DFD">
              <w:rPr>
                <w:rFonts w:cs="Times New Roman"/>
              </w:rPr>
              <w:t>company press releases;</w:t>
            </w:r>
          </w:p>
          <w:p w14:paraId="717CB9ED" w14:textId="77777777" w:rsidR="00771086" w:rsidRPr="00D22DFD" w:rsidRDefault="005B5528" w:rsidP="00771086">
            <w:pPr>
              <w:numPr>
                <w:ilvl w:val="0"/>
                <w:numId w:val="39"/>
              </w:numPr>
              <w:spacing w:after="120"/>
              <w:rPr>
                <w:rFonts w:cs="Times New Roman"/>
              </w:rPr>
            </w:pPr>
            <w:r w:rsidRPr="00D22DFD">
              <w:rPr>
                <w:rFonts w:cs="Times New Roman"/>
              </w:rPr>
              <w:t>ESG reports;</w:t>
            </w:r>
          </w:p>
          <w:p w14:paraId="58F5A5F8" w14:textId="77777777" w:rsidR="00771086" w:rsidRPr="00D22DFD" w:rsidRDefault="005B5528" w:rsidP="00771086">
            <w:pPr>
              <w:numPr>
                <w:ilvl w:val="0"/>
                <w:numId w:val="39"/>
              </w:numPr>
              <w:spacing w:after="120"/>
              <w:rPr>
                <w:rFonts w:cs="Times New Roman"/>
              </w:rPr>
            </w:pPr>
            <w:r w:rsidRPr="00D22DFD">
              <w:rPr>
                <w:rFonts w:cs="Times New Roman"/>
              </w:rPr>
              <w:t>Inves</w:t>
            </w:r>
            <w:r w:rsidRPr="00D22DFD">
              <w:rPr>
                <w:rFonts w:cs="Times New Roman"/>
              </w:rPr>
              <w:t xml:space="preserve">tor relations materials and presentations; and </w:t>
            </w:r>
          </w:p>
          <w:p w14:paraId="62ECF215" w14:textId="77777777" w:rsidR="00771086" w:rsidRPr="00D22DFD" w:rsidRDefault="005B5528" w:rsidP="00771086">
            <w:pPr>
              <w:numPr>
                <w:ilvl w:val="0"/>
                <w:numId w:val="39"/>
              </w:numPr>
              <w:spacing w:after="120"/>
              <w:rPr>
                <w:rFonts w:cs="Times New Roman"/>
              </w:rPr>
            </w:pPr>
            <w:r w:rsidRPr="00D22DFD">
              <w:rPr>
                <w:rFonts w:cs="Times New Roman"/>
              </w:rPr>
              <w:t>disclosure on the company</w:t>
            </w:r>
            <w:r>
              <w:rPr>
                <w:rFonts w:cs="Times New Roman"/>
              </w:rPr>
              <w:t>’</w:t>
            </w:r>
            <w:r w:rsidRPr="00D22DFD">
              <w:rPr>
                <w:rFonts w:cs="Times New Roman"/>
              </w:rPr>
              <w:t xml:space="preserve">s website.  </w:t>
            </w:r>
          </w:p>
          <w:p w14:paraId="37100B69" w14:textId="77777777" w:rsidR="00771086" w:rsidRPr="008F12D6" w:rsidRDefault="005B5528" w:rsidP="00771086">
            <w:pPr>
              <w:spacing w:after="120"/>
              <w:rPr>
                <w:rFonts w:cs="Times New Roman"/>
                <w:b/>
                <w:bCs/>
                <w:sz w:val="24"/>
                <w:szCs w:val="24"/>
              </w:rPr>
            </w:pPr>
            <w:r w:rsidRPr="00D22DFD">
              <w:rPr>
                <w:rFonts w:cs="Times New Roman"/>
              </w:rPr>
              <w:t>The scope of this review should be clearly understood by all participants in the Form 10-K review.</w:t>
            </w:r>
          </w:p>
        </w:tc>
      </w:tr>
      <w:tr w:rsidR="00000000" w14:paraId="3BD476F3" w14:textId="77777777" w:rsidTr="006D5F83">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F7941D"/>
          </w:tcPr>
          <w:p w14:paraId="7BD1D48F" w14:textId="77777777" w:rsidR="00771086" w:rsidRPr="00DB5740" w:rsidRDefault="005B5528" w:rsidP="00771086">
            <w:pPr>
              <w:keepNext/>
              <w:keepLines/>
              <w:autoSpaceDE w:val="0"/>
              <w:autoSpaceDN w:val="0"/>
              <w:adjustRightInd w:val="0"/>
              <w:rPr>
                <w:b/>
                <w:bCs/>
              </w:rPr>
            </w:pPr>
            <w:r w:rsidRPr="00DB5740">
              <w:rPr>
                <w:b/>
                <w:bCs/>
              </w:rPr>
              <w:t xml:space="preserve">Form </w:t>
            </w:r>
            <w:r>
              <w:rPr>
                <w:b/>
                <w:bCs/>
              </w:rPr>
              <w:t>10</w:t>
            </w:r>
            <w:r>
              <w:rPr>
                <w:b/>
                <w:bCs/>
              </w:rPr>
              <w:noBreakHyphen/>
              <w:t>K</w:t>
            </w:r>
            <w:r w:rsidRPr="00DB5740">
              <w:rPr>
                <w:b/>
                <w:bCs/>
              </w:rPr>
              <w:t>: Current SEC Form</w:t>
            </w:r>
          </w:p>
        </w:tc>
      </w:tr>
      <w:tr w:rsidR="00000000" w14:paraId="2601653B" w14:textId="77777777" w:rsidTr="006D5F83">
        <w:trPr>
          <w:cantSplit/>
          <w:jc w:val="center"/>
        </w:trPr>
        <w:tc>
          <w:tcPr>
            <w:tcW w:w="5000" w:type="pct"/>
            <w:gridSpan w:val="7"/>
            <w:tcBorders>
              <w:top w:val="single" w:sz="24" w:space="0" w:color="auto"/>
              <w:left w:val="single" w:sz="4" w:space="0" w:color="auto"/>
              <w:bottom w:val="single" w:sz="24" w:space="0" w:color="auto"/>
              <w:right w:val="single" w:sz="24" w:space="0" w:color="auto"/>
            </w:tcBorders>
          </w:tcPr>
          <w:p w14:paraId="60E40BA3" w14:textId="77777777" w:rsidR="00771086" w:rsidRPr="00082460" w:rsidRDefault="005B5528" w:rsidP="00771086">
            <w:pPr>
              <w:pStyle w:val="BodyText"/>
              <w:spacing w:before="120"/>
            </w:pPr>
            <w:hyperlink r:id="rId26" w:history="1">
              <w:r w:rsidRPr="00082460">
                <w:rPr>
                  <w:rStyle w:val="Hyperlink"/>
                  <w:b/>
                  <w:bCs/>
                </w:rPr>
                <w:t>Form 10</w:t>
              </w:r>
              <w:bookmarkStart w:id="9" w:name="_Hlt119601195"/>
              <w:bookmarkStart w:id="10" w:name="_Hlt119601196"/>
              <w:bookmarkEnd w:id="9"/>
              <w:bookmarkEnd w:id="10"/>
              <w:r w:rsidRPr="00082460">
                <w:rPr>
                  <w:rStyle w:val="Hyperlink"/>
                  <w:b/>
                  <w:bCs/>
                </w:rPr>
                <w:noBreakHyphen/>
                <w:t>K (pdf)</w:t>
              </w:r>
            </w:hyperlink>
            <w:r w:rsidRPr="00082460">
              <w:t xml:space="preserve">    There is a complete list of </w:t>
            </w:r>
            <w:hyperlink r:id="rId27" w:history="1">
              <w:r w:rsidRPr="00082460">
                <w:rPr>
                  <w:rStyle w:val="Hyperlink"/>
                </w:rPr>
                <w:t>SEC Forms</w:t>
              </w:r>
            </w:hyperlink>
            <w:r w:rsidRPr="00082460">
              <w:t xml:space="preserve"> on </w:t>
            </w:r>
            <w:hyperlink r:id="rId28" w:history="1">
              <w:r w:rsidRPr="00082460">
                <w:rPr>
                  <w:rStyle w:val="Hyperlink"/>
                </w:rPr>
                <w:t>the SEC website</w:t>
              </w:r>
            </w:hyperlink>
            <w:r w:rsidRPr="00082460">
              <w:t xml:space="preserve">.  </w:t>
            </w:r>
          </w:p>
          <w:p w14:paraId="279F515F" w14:textId="77777777" w:rsidR="00771086" w:rsidRPr="00082460" w:rsidRDefault="005B5528" w:rsidP="00771086">
            <w:pPr>
              <w:pStyle w:val="BodyText"/>
            </w:pPr>
            <w:r w:rsidRPr="00082460">
              <w:rPr>
                <w:b/>
                <w:bCs/>
              </w:rPr>
              <w:t>Be careful using Google or other search engines to locate an Acrobat format (pd</w:t>
            </w:r>
            <w:r w:rsidRPr="00082460">
              <w:rPr>
                <w:b/>
                <w:bCs/>
              </w:rPr>
              <w:t>f) copy of Form 10</w:t>
            </w:r>
            <w:r w:rsidRPr="00082460">
              <w:rPr>
                <w:b/>
                <w:bCs/>
              </w:rPr>
              <w:noBreakHyphen/>
              <w:t>K on the SEC website.</w:t>
            </w:r>
            <w:r w:rsidRPr="00082460">
              <w:t xml:space="preserve">  There are obsolete copies of Form 10</w:t>
            </w:r>
            <w:r w:rsidRPr="00082460">
              <w:noBreakHyphen/>
              <w:t>K that remain accessible on the SEC website using internet search engines (</w:t>
            </w:r>
            <w:hyperlink r:id="rId29" w:history="1">
              <w:r w:rsidRPr="00082460">
                <w:rPr>
                  <w:rStyle w:val="Hyperlink"/>
                </w:rPr>
                <w:t>ex</w:t>
              </w:r>
              <w:bookmarkStart w:id="11" w:name="_Hlt119601256"/>
              <w:bookmarkStart w:id="12" w:name="_Hlt119601257"/>
              <w:bookmarkEnd w:id="11"/>
              <w:bookmarkEnd w:id="12"/>
              <w:r w:rsidRPr="00082460">
                <w:rPr>
                  <w:rStyle w:val="Hyperlink"/>
                </w:rPr>
                <w:t>a</w:t>
              </w:r>
              <w:bookmarkStart w:id="13" w:name="_Hlt119601234"/>
              <w:bookmarkStart w:id="14" w:name="_Hlt119601235"/>
              <w:bookmarkEnd w:id="13"/>
              <w:bookmarkEnd w:id="14"/>
              <w:r w:rsidRPr="00082460">
                <w:rPr>
                  <w:rStyle w:val="Hyperlink"/>
                </w:rPr>
                <w:t>mple</w:t>
              </w:r>
            </w:hyperlink>
            <w:r w:rsidRPr="00082460">
              <w:t>, expired March 31, 2017).  Use</w:t>
            </w:r>
            <w:r w:rsidRPr="00082460">
              <w:t xml:space="preserve"> only the most current file, linked form the </w:t>
            </w:r>
            <w:hyperlink r:id="rId30" w:history="1">
              <w:r w:rsidRPr="00082460">
                <w:rPr>
                  <w:rStyle w:val="Hyperlink"/>
                </w:rPr>
                <w:t>SEC Forms List</w:t>
              </w:r>
            </w:hyperlink>
            <w:r w:rsidRPr="00082460">
              <w:t xml:space="preserve">.  Verify that the OMB approval expiration date is current (May 31, 2025 as of November </w:t>
            </w:r>
            <w:r>
              <w:t>26</w:t>
            </w:r>
            <w:r w:rsidRPr="00082460">
              <w:t>, 2022).</w:t>
            </w:r>
          </w:p>
        </w:tc>
      </w:tr>
      <w:tr w:rsidR="00000000" w14:paraId="4BDE3DF1" w14:textId="77777777" w:rsidTr="00BF4090">
        <w:trPr>
          <w:cantSplit/>
          <w:jc w:val="center"/>
        </w:trPr>
        <w:tc>
          <w:tcPr>
            <w:tcW w:w="4101" w:type="pct"/>
            <w:gridSpan w:val="4"/>
            <w:tcBorders>
              <w:top w:val="single" w:sz="24" w:space="0" w:color="auto"/>
              <w:left w:val="single" w:sz="4" w:space="0" w:color="auto"/>
              <w:bottom w:val="single" w:sz="24" w:space="0" w:color="auto"/>
            </w:tcBorders>
          </w:tcPr>
          <w:p w14:paraId="1E95595C" w14:textId="77777777" w:rsidR="00771086" w:rsidRDefault="005B5528" w:rsidP="00771086">
            <w:pPr>
              <w:pStyle w:val="BodyText"/>
              <w:rPr>
                <w:bCs/>
              </w:rPr>
            </w:pPr>
            <w:r w:rsidRPr="00DB5740">
              <w:rPr>
                <w:bCs/>
              </w:rPr>
              <w:t xml:space="preserve">Compare the Form </w:t>
            </w:r>
            <w:r>
              <w:rPr>
                <w:bCs/>
              </w:rPr>
              <w:t>10</w:t>
            </w:r>
            <w:r>
              <w:rPr>
                <w:bCs/>
              </w:rPr>
              <w:noBreakHyphen/>
              <w:t>K</w:t>
            </w:r>
            <w:r w:rsidRPr="00DB5740">
              <w:rPr>
                <w:bCs/>
              </w:rPr>
              <w:t xml:space="preserve"> draft to the current </w:t>
            </w:r>
            <w:hyperlink r:id="rId31" w:history="1">
              <w:r w:rsidRPr="00DB5740">
                <w:rPr>
                  <w:rStyle w:val="Hyperlink"/>
                  <w:bCs/>
                </w:rPr>
                <w:t xml:space="preserve">Form </w:t>
              </w:r>
              <w:r>
                <w:rPr>
                  <w:rStyle w:val="Hyperlink"/>
                  <w:bCs/>
                </w:rPr>
                <w:t>10</w:t>
              </w:r>
              <w:r>
                <w:rPr>
                  <w:rStyle w:val="Hyperlink"/>
                  <w:bCs/>
                </w:rPr>
                <w:noBreakHyphen/>
                <w:t>K</w:t>
              </w:r>
            </w:hyperlink>
            <w:r w:rsidRPr="00DB5740">
              <w:rPr>
                <w:bCs/>
              </w:rPr>
              <w:t xml:space="preserve"> posted on the SEC website linked from the </w:t>
            </w:r>
            <w:hyperlink r:id="rId32" w:history="1">
              <w:r w:rsidRPr="00DB5740">
                <w:rPr>
                  <w:rStyle w:val="Hyperlink"/>
                  <w:bCs/>
                </w:rPr>
                <w:t>SEC Forms List</w:t>
              </w:r>
            </w:hyperlink>
            <w:r w:rsidRPr="00DB5740">
              <w:rPr>
                <w:bCs/>
              </w:rPr>
              <w:t xml:space="preserve"> page.  </w:t>
            </w:r>
          </w:p>
          <w:p w14:paraId="6291D87D" w14:textId="77777777" w:rsidR="00771086" w:rsidRPr="00215BB8" w:rsidRDefault="005B5528" w:rsidP="00771086">
            <w:pPr>
              <w:pStyle w:val="BodyText"/>
              <w:rPr>
                <w:bCs/>
                <w:i/>
                <w:iCs/>
              </w:rPr>
            </w:pPr>
            <w:r w:rsidRPr="00215BB8">
              <w:rPr>
                <w:bCs/>
                <w:i/>
                <w:iCs/>
              </w:rPr>
              <w:t xml:space="preserve">Confirm that each item is included.  Items for which the response is </w:t>
            </w:r>
            <w:r>
              <w:rPr>
                <w:bCs/>
                <w:i/>
                <w:iCs/>
              </w:rPr>
              <w:t>“</w:t>
            </w:r>
            <w:r w:rsidRPr="00215BB8">
              <w:rPr>
                <w:bCs/>
                <w:i/>
                <w:iCs/>
              </w:rPr>
              <w:t>not applicable</w:t>
            </w:r>
            <w:r>
              <w:rPr>
                <w:bCs/>
                <w:i/>
                <w:iCs/>
              </w:rPr>
              <w:t>”</w:t>
            </w:r>
            <w:r w:rsidRPr="00215BB8">
              <w:rPr>
                <w:bCs/>
                <w:i/>
                <w:iCs/>
              </w:rPr>
              <w:t xml:space="preserve"> or </w:t>
            </w:r>
            <w:r>
              <w:rPr>
                <w:bCs/>
                <w:i/>
                <w:iCs/>
              </w:rPr>
              <w:t>“</w:t>
            </w:r>
            <w:r w:rsidRPr="00215BB8">
              <w:rPr>
                <w:bCs/>
                <w:i/>
                <w:iCs/>
              </w:rPr>
              <w:t>n</w:t>
            </w:r>
            <w:r w:rsidRPr="00215BB8">
              <w:rPr>
                <w:bCs/>
                <w:i/>
                <w:iCs/>
              </w:rPr>
              <w:t>one</w:t>
            </w:r>
            <w:r>
              <w:rPr>
                <w:bCs/>
                <w:i/>
                <w:iCs/>
              </w:rPr>
              <w:t>”</w:t>
            </w:r>
            <w:r w:rsidRPr="00215BB8">
              <w:rPr>
                <w:bCs/>
                <w:i/>
                <w:iCs/>
              </w:rPr>
              <w:t xml:space="preserve"> must be include</w:t>
            </w:r>
            <w:r>
              <w:rPr>
                <w:bCs/>
                <w:i/>
                <w:iCs/>
              </w:rPr>
              <w:t>d</w:t>
            </w:r>
            <w:r w:rsidRPr="00215BB8">
              <w:rPr>
                <w:bCs/>
                <w:i/>
                <w:iCs/>
              </w:rPr>
              <w:t xml:space="preserve">.  See </w:t>
            </w:r>
            <w:hyperlink r:id="rId33" w:anchor="240.12b-13" w:history="1">
              <w:r w:rsidRPr="00215BB8">
                <w:rPr>
                  <w:rStyle w:val="Hyperlink"/>
                  <w:bCs/>
                  <w:i/>
                  <w:iCs/>
                </w:rPr>
                <w:t>Rule 12</w:t>
              </w:r>
              <w:r>
                <w:rPr>
                  <w:rStyle w:val="Hyperlink"/>
                  <w:bCs/>
                  <w:i/>
                  <w:iCs/>
                </w:rPr>
                <w:t>b</w:t>
              </w:r>
              <w:r w:rsidRPr="00215BB8">
                <w:rPr>
                  <w:rStyle w:val="Hyperlink"/>
                  <w:bCs/>
                  <w:i/>
                  <w:iCs/>
                </w:rPr>
                <w:t>-13</w:t>
              </w:r>
            </w:hyperlink>
            <w:r>
              <w:rPr>
                <w:bCs/>
                <w:i/>
                <w:iCs/>
              </w:rPr>
              <w:t xml:space="preserve"> under </w:t>
            </w:r>
            <w:r w:rsidRPr="00215BB8">
              <w:rPr>
                <w:bCs/>
                <w:i/>
                <w:iCs/>
              </w:rPr>
              <w:t xml:space="preserve">the </w:t>
            </w:r>
            <w:r w:rsidRPr="00215BB8">
              <w:rPr>
                <w:i/>
                <w:iCs/>
              </w:rPr>
              <w:t>Securities E</w:t>
            </w:r>
            <w:r>
              <w:rPr>
                <w:i/>
                <w:iCs/>
              </w:rPr>
              <w:t>xchange</w:t>
            </w:r>
            <w:r w:rsidRPr="00215BB8">
              <w:rPr>
                <w:i/>
                <w:iCs/>
              </w:rPr>
              <w:t xml:space="preserve"> Act of </w:t>
            </w:r>
            <w:r>
              <w:rPr>
                <w:i/>
                <w:iCs/>
              </w:rPr>
              <w:t>1934</w:t>
            </w:r>
            <w:r w:rsidRPr="00215BB8">
              <w:rPr>
                <w:i/>
                <w:iCs/>
              </w:rPr>
              <w:t xml:space="preserve"> </w:t>
            </w:r>
            <w:r>
              <w:rPr>
                <w:i/>
                <w:iCs/>
              </w:rPr>
              <w:t>(“Exchange</w:t>
            </w:r>
            <w:r w:rsidRPr="00215BB8">
              <w:rPr>
                <w:i/>
                <w:iCs/>
              </w:rPr>
              <w:t xml:space="preserve"> Act</w:t>
            </w:r>
            <w:r>
              <w:rPr>
                <w:i/>
                <w:iCs/>
              </w:rPr>
              <w:t>”)</w:t>
            </w:r>
            <w:r w:rsidRPr="00215BB8">
              <w:rPr>
                <w:i/>
                <w:iCs/>
              </w:rPr>
              <w:t>.</w:t>
            </w:r>
          </w:p>
        </w:tc>
        <w:tc>
          <w:tcPr>
            <w:tcW w:w="585" w:type="pct"/>
            <w:tcBorders>
              <w:top w:val="single" w:sz="24" w:space="0" w:color="auto"/>
              <w:bottom w:val="single" w:sz="24" w:space="0" w:color="auto"/>
            </w:tcBorders>
          </w:tcPr>
          <w:p w14:paraId="102B2AD9" w14:textId="77777777" w:rsidR="00771086" w:rsidRPr="00DB5740" w:rsidRDefault="00771086" w:rsidP="00771086">
            <w:pPr>
              <w:pStyle w:val="BodyText"/>
              <w:rPr>
                <w:bCs/>
              </w:rPr>
            </w:pPr>
          </w:p>
        </w:tc>
        <w:tc>
          <w:tcPr>
            <w:tcW w:w="314" w:type="pct"/>
            <w:gridSpan w:val="2"/>
            <w:tcBorders>
              <w:top w:val="single" w:sz="24" w:space="0" w:color="auto"/>
              <w:bottom w:val="single" w:sz="24" w:space="0" w:color="auto"/>
              <w:right w:val="single" w:sz="24" w:space="0" w:color="auto"/>
            </w:tcBorders>
            <w:vAlign w:val="center"/>
          </w:tcPr>
          <w:p w14:paraId="63178ED6"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19CF96F0" w14:textId="77777777" w:rsidR="00771086" w:rsidRPr="00DB5740" w:rsidRDefault="005B5528" w:rsidP="00771086">
            <w:pPr>
              <w:pStyle w:val="BodyText"/>
              <w:jc w:val="center"/>
              <w:rPr>
                <w:bCs/>
              </w:rPr>
            </w:pPr>
            <w:r w:rsidRPr="00DB5740">
              <w:t xml:space="preserve">No  </w:t>
            </w:r>
            <w:r w:rsidRPr="00DB5740">
              <w:rPr>
                <w:rFonts w:ascii="Segoe UI Symbol" w:eastAsia="MS Gothic" w:hAnsi="Segoe UI Symbol" w:cs="Segoe UI Symbol"/>
              </w:rPr>
              <w:t>☐</w:t>
            </w:r>
          </w:p>
        </w:tc>
      </w:tr>
      <w:tr w:rsidR="00000000" w14:paraId="6A3B754C" w14:textId="77777777" w:rsidTr="006D5F83">
        <w:trPr>
          <w:gridAfter w:val="1"/>
          <w:wAfter w:w="26" w:type="dxa"/>
          <w:cantSplit/>
          <w:jc w:val="center"/>
        </w:trPr>
        <w:tc>
          <w:tcPr>
            <w:tcW w:w="4991" w:type="pct"/>
            <w:gridSpan w:val="6"/>
            <w:tcBorders>
              <w:top w:val="single" w:sz="24" w:space="0" w:color="auto"/>
              <w:left w:val="single" w:sz="4" w:space="0" w:color="auto"/>
              <w:bottom w:val="single" w:sz="24" w:space="0" w:color="auto"/>
              <w:right w:val="single" w:sz="24" w:space="0" w:color="auto"/>
            </w:tcBorders>
            <w:shd w:val="clear" w:color="auto" w:fill="F7941D"/>
          </w:tcPr>
          <w:p w14:paraId="27FB2EB4" w14:textId="77777777" w:rsidR="00771086" w:rsidRPr="00DB5740" w:rsidRDefault="005B5528" w:rsidP="00771086">
            <w:r w:rsidRPr="00DB5740">
              <w:rPr>
                <w:b/>
                <w:bCs/>
              </w:rPr>
              <w:lastRenderedPageBreak/>
              <w:t xml:space="preserve">Facing </w:t>
            </w:r>
            <w:r>
              <w:rPr>
                <w:b/>
                <w:bCs/>
              </w:rPr>
              <w:t>(</w:t>
            </w:r>
            <w:r w:rsidRPr="00DB5740">
              <w:rPr>
                <w:b/>
                <w:bCs/>
              </w:rPr>
              <w:t>Cove</w:t>
            </w:r>
            <w:r>
              <w:rPr>
                <w:b/>
                <w:bCs/>
              </w:rPr>
              <w:t>r</w:t>
            </w:r>
            <w:r w:rsidRPr="00DB5740">
              <w:rPr>
                <w:b/>
                <w:bCs/>
              </w:rPr>
              <w:t>) Pa</w:t>
            </w:r>
            <w:r>
              <w:rPr>
                <w:b/>
                <w:bCs/>
              </w:rPr>
              <w:t>g</w:t>
            </w:r>
            <w:r w:rsidRPr="00DB5740">
              <w:rPr>
                <w:b/>
                <w:bCs/>
              </w:rPr>
              <w:t>e</w:t>
            </w:r>
          </w:p>
        </w:tc>
      </w:tr>
      <w:tr w:rsidR="00000000" w14:paraId="52FBD2C8" w14:textId="77777777" w:rsidTr="00BF4090">
        <w:trPr>
          <w:cantSplit/>
          <w:jc w:val="center"/>
        </w:trPr>
        <w:tc>
          <w:tcPr>
            <w:tcW w:w="685" w:type="pct"/>
          </w:tcPr>
          <w:p w14:paraId="060FD083" w14:textId="77777777" w:rsidR="00771086" w:rsidRPr="00DB5740" w:rsidRDefault="005B5528" w:rsidP="00771086">
            <w:r w:rsidRPr="00DB5740">
              <w:rPr>
                <w:i/>
                <w:iCs/>
              </w:rPr>
              <w:t>Mark one:</w:t>
            </w:r>
          </w:p>
          <w:p w14:paraId="27BED449" w14:textId="77777777" w:rsidR="00771086" w:rsidRPr="00DB5740" w:rsidRDefault="005B5528" w:rsidP="00771086">
            <w:r w:rsidRPr="00DB5740">
              <w:rPr>
                <w:rFonts w:ascii="Segoe UI Symbol" w:eastAsia="MS Gothic" w:hAnsi="Segoe UI Symbol" w:cs="Segoe UI Symbol"/>
              </w:rPr>
              <w:t>☐</w:t>
            </w:r>
            <w:r w:rsidRPr="00DB5740">
              <w:t xml:space="preserve"> Annual Report for </w:t>
            </w:r>
            <w:r w:rsidRPr="00DB5740">
              <w:t>the fiscal year ended [____________]</w:t>
            </w:r>
          </w:p>
          <w:p w14:paraId="5EE2ABD1" w14:textId="77777777" w:rsidR="00771086" w:rsidRPr="00DB5740" w:rsidRDefault="005B5528" w:rsidP="00771086">
            <w:pPr>
              <w:rPr>
                <w:i/>
                <w:iCs/>
              </w:rPr>
            </w:pPr>
            <w:r w:rsidRPr="00DB5740">
              <w:rPr>
                <w:i/>
                <w:iCs/>
              </w:rPr>
              <w:t>or</w:t>
            </w:r>
          </w:p>
          <w:p w14:paraId="38E64CB7" w14:textId="77777777" w:rsidR="00771086" w:rsidRPr="00DB5740" w:rsidRDefault="005B5528" w:rsidP="00771086">
            <w:r w:rsidRPr="00DB5740">
              <w:rPr>
                <w:rFonts w:ascii="Segoe UI Symbol" w:eastAsia="MS Gothic" w:hAnsi="Segoe UI Symbol" w:cs="Segoe UI Symbol"/>
              </w:rPr>
              <w:t>☐</w:t>
            </w:r>
            <w:r w:rsidRPr="00DB5740">
              <w:t xml:space="preserve"> Transition Report for the transition period from/to _______________</w:t>
            </w:r>
          </w:p>
          <w:p w14:paraId="7619CF82" w14:textId="77777777" w:rsidR="00771086" w:rsidRPr="00DB5740" w:rsidRDefault="00771086" w:rsidP="00771086">
            <w:pPr>
              <w:rPr>
                <w:b/>
                <w:i/>
                <w:color w:val="FF0000"/>
              </w:rPr>
            </w:pPr>
          </w:p>
        </w:tc>
        <w:tc>
          <w:tcPr>
            <w:tcW w:w="584" w:type="pct"/>
          </w:tcPr>
          <w:p w14:paraId="573AB5EC" w14:textId="77777777" w:rsidR="00771086" w:rsidRPr="00DB5740" w:rsidRDefault="005B5528" w:rsidP="00771086">
            <w:r w:rsidRPr="00DB5740">
              <w:t xml:space="preserve">Form </w:t>
            </w:r>
            <w:r>
              <w:t>10</w:t>
            </w:r>
            <w:r>
              <w:noBreakHyphen/>
              <w:t>K</w:t>
            </w:r>
          </w:p>
          <w:p w14:paraId="0261F6C7" w14:textId="77777777" w:rsidR="00771086" w:rsidRPr="00DB5740" w:rsidRDefault="005B5528" w:rsidP="00771086">
            <w:pPr>
              <w:autoSpaceDE w:val="0"/>
              <w:autoSpaceDN w:val="0"/>
              <w:adjustRightInd w:val="0"/>
            </w:pPr>
            <w:r w:rsidRPr="00DB5740">
              <w:t>Cover Page</w:t>
            </w:r>
          </w:p>
        </w:tc>
        <w:tc>
          <w:tcPr>
            <w:tcW w:w="1907" w:type="pct"/>
          </w:tcPr>
          <w:p w14:paraId="0344F42F" w14:textId="77777777" w:rsidR="00771086" w:rsidRPr="00DB5740" w:rsidRDefault="00771086" w:rsidP="00771086">
            <w:pPr>
              <w:autoSpaceDE w:val="0"/>
              <w:autoSpaceDN w:val="0"/>
              <w:adjustRightInd w:val="0"/>
              <w:spacing w:after="120"/>
            </w:pPr>
          </w:p>
        </w:tc>
        <w:tc>
          <w:tcPr>
            <w:tcW w:w="925" w:type="pct"/>
          </w:tcPr>
          <w:p w14:paraId="075851EC" w14:textId="77777777" w:rsidR="00771086" w:rsidRPr="00DB5740" w:rsidRDefault="005B5528" w:rsidP="00771086">
            <w:pPr>
              <w:autoSpaceDE w:val="0"/>
              <w:autoSpaceDN w:val="0"/>
              <w:adjustRightInd w:val="0"/>
              <w:spacing w:after="120"/>
            </w:pPr>
            <w:r w:rsidRPr="00DB5740">
              <w:t>Transition reports are filed for a financial reporting period after a company changes the date of its fiscal year end.  See</w:t>
            </w:r>
            <w:r>
              <w:t xml:space="preserve"> </w:t>
            </w:r>
            <w:hyperlink r:id="rId34" w:anchor="240.15d-1" w:history="1">
              <w:r w:rsidRPr="00DB5740">
                <w:rPr>
                  <w:rStyle w:val="Hyperlink"/>
                </w:rPr>
                <w:t>Rule 15</w:t>
              </w:r>
              <w:bookmarkStart w:id="15" w:name="_Hlt94425153"/>
              <w:bookmarkStart w:id="16" w:name="_Hlt94425154"/>
              <w:r w:rsidRPr="00DB5740">
                <w:rPr>
                  <w:rStyle w:val="Hyperlink"/>
                </w:rPr>
                <w:t>d</w:t>
              </w:r>
              <w:bookmarkEnd w:id="15"/>
              <w:bookmarkEnd w:id="16"/>
              <w:r w:rsidRPr="00DB5740">
                <w:rPr>
                  <w:rStyle w:val="Hyperlink"/>
                </w:rPr>
                <w:t>-10</w:t>
              </w:r>
            </w:hyperlink>
            <w:r w:rsidRPr="00DB5740">
              <w:t xml:space="preserve"> </w:t>
            </w:r>
            <w:r>
              <w:t>of the Exchange Act.</w:t>
            </w:r>
          </w:p>
        </w:tc>
        <w:tc>
          <w:tcPr>
            <w:tcW w:w="585" w:type="pct"/>
            <w:vAlign w:val="center"/>
          </w:tcPr>
          <w:p w14:paraId="624B809A" w14:textId="77777777" w:rsidR="00771086" w:rsidRPr="00DB5740" w:rsidRDefault="00771086" w:rsidP="00771086">
            <w:pPr>
              <w:rPr>
                <w:b/>
                <w:i/>
                <w:color w:val="FF0000"/>
              </w:rPr>
            </w:pPr>
          </w:p>
        </w:tc>
        <w:tc>
          <w:tcPr>
            <w:tcW w:w="314" w:type="pct"/>
            <w:gridSpan w:val="2"/>
            <w:vAlign w:val="center"/>
          </w:tcPr>
          <w:p w14:paraId="05917D2B"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397B8721" w14:textId="77777777" w:rsidR="00771086" w:rsidRPr="00DB5740" w:rsidRDefault="005B5528" w:rsidP="00771086">
            <w:pPr>
              <w:jc w:val="center"/>
              <w:rPr>
                <w:b/>
                <w:i/>
                <w:color w:val="FF0000"/>
              </w:rPr>
            </w:pPr>
            <w:r w:rsidRPr="00DB5740">
              <w:t xml:space="preserve">No  </w:t>
            </w:r>
            <w:r w:rsidRPr="00DB5740">
              <w:rPr>
                <w:rFonts w:ascii="Segoe UI Symbol" w:eastAsia="MS Gothic" w:hAnsi="Segoe UI Symbol" w:cs="Segoe UI Symbol"/>
              </w:rPr>
              <w:t>☐</w:t>
            </w:r>
          </w:p>
        </w:tc>
      </w:tr>
      <w:tr w:rsidR="00000000" w14:paraId="3868B843" w14:textId="77777777" w:rsidTr="00BF4090">
        <w:trPr>
          <w:cantSplit/>
          <w:jc w:val="center"/>
        </w:trPr>
        <w:tc>
          <w:tcPr>
            <w:tcW w:w="685" w:type="pct"/>
          </w:tcPr>
          <w:p w14:paraId="21D21BAC" w14:textId="77777777" w:rsidR="00771086" w:rsidRPr="00DB5740" w:rsidRDefault="005B5528" w:rsidP="00771086">
            <w:pPr>
              <w:rPr>
                <w:b/>
                <w:i/>
                <w:color w:val="FF0000"/>
                <w:sz w:val="21"/>
                <w:szCs w:val="21"/>
              </w:rPr>
            </w:pPr>
            <w:r w:rsidRPr="00DB5740">
              <w:rPr>
                <w:sz w:val="21"/>
                <w:szCs w:val="21"/>
              </w:rPr>
              <w:t>Commission file number</w:t>
            </w:r>
          </w:p>
        </w:tc>
        <w:tc>
          <w:tcPr>
            <w:tcW w:w="584" w:type="pct"/>
          </w:tcPr>
          <w:p w14:paraId="147C673C" w14:textId="77777777" w:rsidR="00771086" w:rsidRPr="00DB5740" w:rsidRDefault="005B5528" w:rsidP="00771086">
            <w:r w:rsidRPr="00DB5740">
              <w:t xml:space="preserve">Form </w:t>
            </w:r>
            <w:r>
              <w:t>10</w:t>
            </w:r>
            <w:r>
              <w:noBreakHyphen/>
              <w:t>K</w:t>
            </w:r>
          </w:p>
          <w:p w14:paraId="039122CC" w14:textId="77777777" w:rsidR="00771086" w:rsidRPr="00DB5740" w:rsidRDefault="005B5528" w:rsidP="00771086">
            <w:r w:rsidRPr="00DB5740">
              <w:t>Cover Page</w:t>
            </w:r>
          </w:p>
        </w:tc>
        <w:tc>
          <w:tcPr>
            <w:tcW w:w="1907" w:type="pct"/>
          </w:tcPr>
          <w:p w14:paraId="71F08FD9" w14:textId="77777777" w:rsidR="00771086" w:rsidRPr="00215BB8" w:rsidRDefault="005B5528" w:rsidP="00771086">
            <w:pPr>
              <w:autoSpaceDE w:val="0"/>
              <w:autoSpaceDN w:val="0"/>
              <w:adjustRightInd w:val="0"/>
              <w:spacing w:after="120"/>
              <w:rPr>
                <w:i/>
                <w:iCs/>
              </w:rPr>
            </w:pPr>
            <w:r w:rsidRPr="00215BB8">
              <w:rPr>
                <w:i/>
                <w:iCs/>
              </w:rPr>
              <w:t>Confirm the company</w:t>
            </w:r>
            <w:r>
              <w:rPr>
                <w:i/>
                <w:iCs/>
              </w:rPr>
              <w:t>’</w:t>
            </w:r>
            <w:r w:rsidRPr="00215BB8">
              <w:rPr>
                <w:i/>
                <w:iCs/>
              </w:rPr>
              <w:t>s SEC Exchange Act file number as shown on the company</w:t>
            </w:r>
            <w:r>
              <w:rPr>
                <w:i/>
                <w:iCs/>
              </w:rPr>
              <w:t>’</w:t>
            </w:r>
            <w:r w:rsidRPr="00215BB8">
              <w:rPr>
                <w:i/>
                <w:iCs/>
              </w:rPr>
              <w:t xml:space="preserve">s SEC EDGAR filings page.  </w:t>
            </w:r>
            <w:r w:rsidRPr="00215BB8">
              <w:rPr>
                <w:b/>
                <w:bCs/>
                <w:i/>
                <w:iCs/>
              </w:rPr>
              <w:t>Do not use the company</w:t>
            </w:r>
            <w:r>
              <w:rPr>
                <w:b/>
                <w:bCs/>
                <w:i/>
                <w:iCs/>
              </w:rPr>
              <w:t>’</w:t>
            </w:r>
            <w:r w:rsidRPr="00215BB8">
              <w:rPr>
                <w:b/>
                <w:bCs/>
                <w:i/>
                <w:iCs/>
              </w:rPr>
              <w:t>s EDGAR CIK (central index key) number.</w:t>
            </w:r>
          </w:p>
        </w:tc>
        <w:tc>
          <w:tcPr>
            <w:tcW w:w="925" w:type="pct"/>
          </w:tcPr>
          <w:p w14:paraId="34CB6A53" w14:textId="77777777" w:rsidR="00771086" w:rsidRPr="00DB5740" w:rsidRDefault="00771086" w:rsidP="00771086">
            <w:pPr>
              <w:autoSpaceDE w:val="0"/>
              <w:autoSpaceDN w:val="0"/>
              <w:adjustRightInd w:val="0"/>
              <w:spacing w:after="120"/>
            </w:pPr>
          </w:p>
        </w:tc>
        <w:tc>
          <w:tcPr>
            <w:tcW w:w="585" w:type="pct"/>
            <w:vAlign w:val="center"/>
          </w:tcPr>
          <w:p w14:paraId="7ABABA9B" w14:textId="77777777" w:rsidR="00771086" w:rsidRPr="00DB5740" w:rsidRDefault="00771086" w:rsidP="00771086">
            <w:pPr>
              <w:rPr>
                <w:b/>
                <w:i/>
                <w:color w:val="FF0000"/>
              </w:rPr>
            </w:pPr>
          </w:p>
        </w:tc>
        <w:tc>
          <w:tcPr>
            <w:tcW w:w="314" w:type="pct"/>
            <w:gridSpan w:val="2"/>
            <w:vAlign w:val="center"/>
          </w:tcPr>
          <w:p w14:paraId="6895BEF2"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53CB46D2" w14:textId="77777777" w:rsidR="00771086" w:rsidRPr="00DB5740" w:rsidRDefault="005B5528" w:rsidP="00771086">
            <w:pPr>
              <w:jc w:val="center"/>
              <w:rPr>
                <w:b/>
                <w:i/>
                <w:color w:val="FF0000"/>
              </w:rPr>
            </w:pPr>
            <w:r w:rsidRPr="00DB5740">
              <w:t xml:space="preserve">No  </w:t>
            </w:r>
            <w:r w:rsidRPr="00DB5740">
              <w:rPr>
                <w:rFonts w:ascii="Segoe UI Symbol" w:eastAsia="MS Gothic" w:hAnsi="Segoe UI Symbol" w:cs="Segoe UI Symbol"/>
              </w:rPr>
              <w:t>☐</w:t>
            </w:r>
          </w:p>
        </w:tc>
      </w:tr>
      <w:tr w:rsidR="00000000" w14:paraId="695EBEBD" w14:textId="77777777" w:rsidTr="00BF4090">
        <w:trPr>
          <w:cantSplit/>
          <w:jc w:val="center"/>
        </w:trPr>
        <w:tc>
          <w:tcPr>
            <w:tcW w:w="685" w:type="pct"/>
          </w:tcPr>
          <w:p w14:paraId="2471B13E" w14:textId="77777777" w:rsidR="00771086" w:rsidRPr="00DB5740" w:rsidRDefault="005B5528" w:rsidP="00771086">
            <w:pPr>
              <w:rPr>
                <w:sz w:val="21"/>
                <w:szCs w:val="21"/>
              </w:rPr>
            </w:pPr>
            <w:r w:rsidRPr="00DB5740">
              <w:rPr>
                <w:sz w:val="21"/>
                <w:szCs w:val="21"/>
              </w:rPr>
              <w:t>Exact name of registrant as specified in its charter</w:t>
            </w:r>
          </w:p>
        </w:tc>
        <w:tc>
          <w:tcPr>
            <w:tcW w:w="584" w:type="pct"/>
          </w:tcPr>
          <w:p w14:paraId="38A95544" w14:textId="77777777" w:rsidR="00771086" w:rsidRPr="00DB5740" w:rsidRDefault="005B5528" w:rsidP="00771086">
            <w:r w:rsidRPr="00DB5740">
              <w:t xml:space="preserve">Form </w:t>
            </w:r>
            <w:r>
              <w:t>10</w:t>
            </w:r>
            <w:r>
              <w:noBreakHyphen/>
              <w:t>K</w:t>
            </w:r>
          </w:p>
          <w:p w14:paraId="5338DEF4" w14:textId="77777777" w:rsidR="00771086" w:rsidRPr="00DB5740" w:rsidRDefault="005B5528" w:rsidP="00771086">
            <w:r w:rsidRPr="00DB5740">
              <w:t>Cover Page</w:t>
            </w:r>
          </w:p>
        </w:tc>
        <w:tc>
          <w:tcPr>
            <w:tcW w:w="1907" w:type="pct"/>
          </w:tcPr>
          <w:p w14:paraId="47CE1AE5" w14:textId="77777777" w:rsidR="00771086" w:rsidRPr="00215BB8" w:rsidRDefault="005B5528" w:rsidP="00771086">
            <w:pPr>
              <w:autoSpaceDE w:val="0"/>
              <w:autoSpaceDN w:val="0"/>
              <w:adjustRightInd w:val="0"/>
              <w:spacing w:after="120"/>
              <w:rPr>
                <w:i/>
                <w:iCs/>
              </w:rPr>
            </w:pPr>
            <w:r w:rsidRPr="00215BB8">
              <w:rPr>
                <w:i/>
                <w:iCs/>
              </w:rPr>
              <w:t>Confirm the company</w:t>
            </w:r>
            <w:r>
              <w:rPr>
                <w:i/>
                <w:iCs/>
              </w:rPr>
              <w:t>’</w:t>
            </w:r>
            <w:r w:rsidRPr="00215BB8">
              <w:rPr>
                <w:i/>
                <w:iCs/>
              </w:rPr>
              <w:t xml:space="preserve">s exact name as shown in its charter and compare to the </w:t>
            </w:r>
            <w:r w:rsidRPr="00215BB8">
              <w:rPr>
                <w:i/>
                <w:iCs/>
              </w:rPr>
              <w:t>company</w:t>
            </w:r>
            <w:r>
              <w:rPr>
                <w:i/>
                <w:iCs/>
              </w:rPr>
              <w:t>’</w:t>
            </w:r>
            <w:r w:rsidRPr="00215BB8">
              <w:rPr>
                <w:i/>
                <w:iCs/>
              </w:rPr>
              <w:t>s name as shown on the company</w:t>
            </w:r>
            <w:r>
              <w:rPr>
                <w:i/>
                <w:iCs/>
              </w:rPr>
              <w:t>’</w:t>
            </w:r>
            <w:r w:rsidRPr="00215BB8">
              <w:rPr>
                <w:i/>
                <w:iCs/>
              </w:rPr>
              <w:t>s SEC EDGAR filings page.</w:t>
            </w:r>
          </w:p>
        </w:tc>
        <w:tc>
          <w:tcPr>
            <w:tcW w:w="925" w:type="pct"/>
          </w:tcPr>
          <w:p w14:paraId="48EA9E61" w14:textId="77777777" w:rsidR="00771086" w:rsidRPr="00DB5740" w:rsidRDefault="00771086" w:rsidP="00771086">
            <w:pPr>
              <w:autoSpaceDE w:val="0"/>
              <w:autoSpaceDN w:val="0"/>
              <w:adjustRightInd w:val="0"/>
              <w:spacing w:after="120"/>
            </w:pPr>
          </w:p>
        </w:tc>
        <w:tc>
          <w:tcPr>
            <w:tcW w:w="585" w:type="pct"/>
            <w:vAlign w:val="center"/>
          </w:tcPr>
          <w:p w14:paraId="6BCACB3F" w14:textId="77777777" w:rsidR="00771086" w:rsidRPr="00DB5740" w:rsidRDefault="00771086" w:rsidP="00771086">
            <w:pPr>
              <w:rPr>
                <w:b/>
                <w:i/>
                <w:color w:val="FF0000"/>
              </w:rPr>
            </w:pPr>
          </w:p>
        </w:tc>
        <w:tc>
          <w:tcPr>
            <w:tcW w:w="314" w:type="pct"/>
            <w:gridSpan w:val="2"/>
            <w:vAlign w:val="center"/>
          </w:tcPr>
          <w:p w14:paraId="5DE4322F"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1666307C"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27762970" w14:textId="77777777" w:rsidTr="00BF4090">
        <w:trPr>
          <w:cantSplit/>
          <w:jc w:val="center"/>
        </w:trPr>
        <w:tc>
          <w:tcPr>
            <w:tcW w:w="685" w:type="pct"/>
          </w:tcPr>
          <w:p w14:paraId="72C8539D" w14:textId="77777777" w:rsidR="00771086" w:rsidRPr="00DB5740" w:rsidRDefault="005B5528" w:rsidP="00771086">
            <w:pPr>
              <w:rPr>
                <w:sz w:val="21"/>
                <w:szCs w:val="21"/>
              </w:rPr>
            </w:pPr>
            <w:r w:rsidRPr="00DB5740">
              <w:rPr>
                <w:sz w:val="21"/>
                <w:szCs w:val="21"/>
              </w:rPr>
              <w:t>State or other jurisdiction of incorporation or organization</w:t>
            </w:r>
          </w:p>
        </w:tc>
        <w:tc>
          <w:tcPr>
            <w:tcW w:w="584" w:type="pct"/>
          </w:tcPr>
          <w:p w14:paraId="0A3CB103" w14:textId="77777777" w:rsidR="00771086" w:rsidRPr="00DB5740" w:rsidRDefault="005B5528" w:rsidP="00771086">
            <w:r w:rsidRPr="00DB5740">
              <w:t xml:space="preserve">Form </w:t>
            </w:r>
            <w:r>
              <w:t>10</w:t>
            </w:r>
            <w:r>
              <w:noBreakHyphen/>
              <w:t>K</w:t>
            </w:r>
          </w:p>
          <w:p w14:paraId="555F870C" w14:textId="77777777" w:rsidR="00771086" w:rsidRPr="00DB5740" w:rsidRDefault="005B5528" w:rsidP="00771086">
            <w:r w:rsidRPr="00DB5740">
              <w:t>Cover Page</w:t>
            </w:r>
          </w:p>
        </w:tc>
        <w:tc>
          <w:tcPr>
            <w:tcW w:w="1907" w:type="pct"/>
          </w:tcPr>
          <w:p w14:paraId="4CCCB1B9" w14:textId="77777777" w:rsidR="00771086" w:rsidRPr="00215BB8" w:rsidRDefault="005B5528" w:rsidP="00771086">
            <w:pPr>
              <w:autoSpaceDE w:val="0"/>
              <w:autoSpaceDN w:val="0"/>
              <w:adjustRightInd w:val="0"/>
              <w:spacing w:after="120"/>
              <w:rPr>
                <w:i/>
                <w:iCs/>
              </w:rPr>
            </w:pPr>
            <w:r w:rsidRPr="00215BB8">
              <w:rPr>
                <w:i/>
                <w:iCs/>
              </w:rPr>
              <w:t>Confirm that the correct state or other jurisdiction is shown.</w:t>
            </w:r>
          </w:p>
        </w:tc>
        <w:tc>
          <w:tcPr>
            <w:tcW w:w="925" w:type="pct"/>
          </w:tcPr>
          <w:p w14:paraId="63CAE24B" w14:textId="77777777" w:rsidR="00771086" w:rsidRPr="00DB5740" w:rsidRDefault="00771086" w:rsidP="00771086">
            <w:pPr>
              <w:autoSpaceDE w:val="0"/>
              <w:autoSpaceDN w:val="0"/>
              <w:adjustRightInd w:val="0"/>
              <w:spacing w:after="120"/>
            </w:pPr>
          </w:p>
        </w:tc>
        <w:tc>
          <w:tcPr>
            <w:tcW w:w="585" w:type="pct"/>
            <w:vAlign w:val="center"/>
          </w:tcPr>
          <w:p w14:paraId="79583A26" w14:textId="77777777" w:rsidR="00771086" w:rsidRPr="00DB5740" w:rsidRDefault="00771086" w:rsidP="00771086">
            <w:pPr>
              <w:rPr>
                <w:b/>
                <w:i/>
                <w:color w:val="FF0000"/>
              </w:rPr>
            </w:pPr>
          </w:p>
        </w:tc>
        <w:tc>
          <w:tcPr>
            <w:tcW w:w="314" w:type="pct"/>
            <w:gridSpan w:val="2"/>
            <w:vAlign w:val="center"/>
          </w:tcPr>
          <w:p w14:paraId="48BBBB04"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650261FE"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6AA56892" w14:textId="77777777" w:rsidTr="00BF4090">
        <w:trPr>
          <w:cantSplit/>
          <w:jc w:val="center"/>
        </w:trPr>
        <w:tc>
          <w:tcPr>
            <w:tcW w:w="685" w:type="pct"/>
          </w:tcPr>
          <w:p w14:paraId="7B207132" w14:textId="77777777" w:rsidR="00771086" w:rsidRPr="00DB5740" w:rsidRDefault="005B5528" w:rsidP="00771086">
            <w:pPr>
              <w:rPr>
                <w:sz w:val="21"/>
                <w:szCs w:val="21"/>
              </w:rPr>
            </w:pPr>
            <w:r w:rsidRPr="00DB5740">
              <w:rPr>
                <w:sz w:val="21"/>
                <w:szCs w:val="21"/>
              </w:rPr>
              <w:t xml:space="preserve">I.R.S. Employer </w:t>
            </w:r>
            <w:r w:rsidRPr="00DB5740">
              <w:rPr>
                <w:sz w:val="21"/>
                <w:szCs w:val="21"/>
              </w:rPr>
              <w:t>Identification No.</w:t>
            </w:r>
          </w:p>
        </w:tc>
        <w:tc>
          <w:tcPr>
            <w:tcW w:w="584" w:type="pct"/>
          </w:tcPr>
          <w:p w14:paraId="26A37E41" w14:textId="77777777" w:rsidR="00771086" w:rsidRPr="00DB5740" w:rsidRDefault="005B5528" w:rsidP="00771086">
            <w:r w:rsidRPr="00DB5740">
              <w:t xml:space="preserve">Form </w:t>
            </w:r>
            <w:r>
              <w:t>10</w:t>
            </w:r>
            <w:r>
              <w:noBreakHyphen/>
              <w:t>K</w:t>
            </w:r>
          </w:p>
          <w:p w14:paraId="692F5D73" w14:textId="77777777" w:rsidR="00771086" w:rsidRPr="00DB5740" w:rsidRDefault="005B5528" w:rsidP="00771086">
            <w:r w:rsidRPr="00DB5740">
              <w:t>Cover Page</w:t>
            </w:r>
          </w:p>
        </w:tc>
        <w:tc>
          <w:tcPr>
            <w:tcW w:w="1907" w:type="pct"/>
          </w:tcPr>
          <w:p w14:paraId="5920FCD0" w14:textId="77777777" w:rsidR="00771086" w:rsidRPr="00215BB8" w:rsidRDefault="005B5528" w:rsidP="00771086">
            <w:pPr>
              <w:autoSpaceDE w:val="0"/>
              <w:autoSpaceDN w:val="0"/>
              <w:adjustRightInd w:val="0"/>
              <w:spacing w:after="120"/>
              <w:rPr>
                <w:i/>
                <w:iCs/>
              </w:rPr>
            </w:pPr>
            <w:r w:rsidRPr="00215BB8">
              <w:rPr>
                <w:i/>
                <w:iCs/>
              </w:rPr>
              <w:t>Confirm that the correct IRS EIN is shown.</w:t>
            </w:r>
          </w:p>
        </w:tc>
        <w:tc>
          <w:tcPr>
            <w:tcW w:w="925" w:type="pct"/>
          </w:tcPr>
          <w:p w14:paraId="618F90F3" w14:textId="77777777" w:rsidR="00771086" w:rsidRPr="00DB5740" w:rsidRDefault="00771086" w:rsidP="00771086">
            <w:pPr>
              <w:autoSpaceDE w:val="0"/>
              <w:autoSpaceDN w:val="0"/>
              <w:adjustRightInd w:val="0"/>
              <w:spacing w:after="120"/>
            </w:pPr>
          </w:p>
        </w:tc>
        <w:tc>
          <w:tcPr>
            <w:tcW w:w="585" w:type="pct"/>
            <w:vAlign w:val="center"/>
          </w:tcPr>
          <w:p w14:paraId="5BB8AEDD" w14:textId="77777777" w:rsidR="00771086" w:rsidRPr="00DB5740" w:rsidRDefault="00771086" w:rsidP="00771086">
            <w:pPr>
              <w:rPr>
                <w:b/>
                <w:i/>
                <w:color w:val="FF0000"/>
              </w:rPr>
            </w:pPr>
          </w:p>
        </w:tc>
        <w:tc>
          <w:tcPr>
            <w:tcW w:w="314" w:type="pct"/>
            <w:gridSpan w:val="2"/>
            <w:vAlign w:val="center"/>
          </w:tcPr>
          <w:p w14:paraId="57194666"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7FAEA964"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56231E79" w14:textId="77777777" w:rsidTr="00BF4090">
        <w:trPr>
          <w:cantSplit/>
          <w:jc w:val="center"/>
        </w:trPr>
        <w:tc>
          <w:tcPr>
            <w:tcW w:w="685" w:type="pct"/>
          </w:tcPr>
          <w:p w14:paraId="66A9A3FF" w14:textId="77777777" w:rsidR="00771086" w:rsidRPr="00DB5740" w:rsidRDefault="005B5528" w:rsidP="00771086">
            <w:pPr>
              <w:rPr>
                <w:sz w:val="21"/>
                <w:szCs w:val="21"/>
              </w:rPr>
            </w:pPr>
            <w:r w:rsidRPr="00DB5740">
              <w:rPr>
                <w:sz w:val="21"/>
                <w:szCs w:val="21"/>
              </w:rPr>
              <w:lastRenderedPageBreak/>
              <w:t>Address of principal executive offices</w:t>
            </w:r>
          </w:p>
        </w:tc>
        <w:tc>
          <w:tcPr>
            <w:tcW w:w="584" w:type="pct"/>
          </w:tcPr>
          <w:p w14:paraId="15054A40" w14:textId="77777777" w:rsidR="00771086" w:rsidRPr="00DB5740" w:rsidRDefault="005B5528" w:rsidP="00771086">
            <w:r w:rsidRPr="00DB5740">
              <w:t xml:space="preserve">Form </w:t>
            </w:r>
            <w:r>
              <w:t>10</w:t>
            </w:r>
            <w:r>
              <w:noBreakHyphen/>
              <w:t>K</w:t>
            </w:r>
          </w:p>
          <w:p w14:paraId="06FE4036" w14:textId="77777777" w:rsidR="00771086" w:rsidRPr="00DB5740" w:rsidRDefault="005B5528" w:rsidP="00771086">
            <w:r w:rsidRPr="00DB5740">
              <w:t>Cover Page</w:t>
            </w:r>
          </w:p>
        </w:tc>
        <w:tc>
          <w:tcPr>
            <w:tcW w:w="1907" w:type="pct"/>
          </w:tcPr>
          <w:p w14:paraId="62F20B9E" w14:textId="77777777" w:rsidR="00771086" w:rsidRPr="00215BB8" w:rsidRDefault="005B5528" w:rsidP="00771086">
            <w:pPr>
              <w:autoSpaceDE w:val="0"/>
              <w:autoSpaceDN w:val="0"/>
              <w:adjustRightInd w:val="0"/>
              <w:spacing w:after="120"/>
              <w:rPr>
                <w:i/>
                <w:iCs/>
              </w:rPr>
            </w:pPr>
            <w:r w:rsidRPr="00215BB8">
              <w:rPr>
                <w:i/>
                <w:iCs/>
              </w:rPr>
              <w:t>Confirm that the correct address is shown.  The company must provide a physical address even if th</w:t>
            </w:r>
            <w:r w:rsidRPr="00215BB8">
              <w:rPr>
                <w:i/>
                <w:iCs/>
              </w:rPr>
              <w:t xml:space="preserve">e company is a </w:t>
            </w:r>
            <w:r>
              <w:rPr>
                <w:i/>
                <w:iCs/>
              </w:rPr>
              <w:t>“</w:t>
            </w:r>
            <w:r w:rsidRPr="00215BB8">
              <w:rPr>
                <w:i/>
                <w:iCs/>
              </w:rPr>
              <w:t>remote-first</w:t>
            </w:r>
            <w:r>
              <w:rPr>
                <w:i/>
                <w:iCs/>
              </w:rPr>
              <w:t>”</w:t>
            </w:r>
            <w:r w:rsidRPr="00215BB8">
              <w:rPr>
                <w:i/>
                <w:iCs/>
              </w:rPr>
              <w:t xml:space="preserve"> or </w:t>
            </w:r>
            <w:r>
              <w:rPr>
                <w:i/>
                <w:iCs/>
              </w:rPr>
              <w:t>“</w:t>
            </w:r>
            <w:r w:rsidRPr="00215BB8">
              <w:rPr>
                <w:i/>
                <w:iCs/>
              </w:rPr>
              <w:t>remote-only</w:t>
            </w:r>
            <w:r>
              <w:rPr>
                <w:i/>
                <w:iCs/>
              </w:rPr>
              <w:t>”</w:t>
            </w:r>
            <w:r w:rsidRPr="00215BB8">
              <w:rPr>
                <w:i/>
                <w:iCs/>
              </w:rPr>
              <w:t xml:space="preserve"> company.</w:t>
            </w:r>
          </w:p>
          <w:p w14:paraId="7AB4887B" w14:textId="77777777" w:rsidR="00771086" w:rsidRPr="00DB5740" w:rsidRDefault="005B5528" w:rsidP="00771086">
            <w:pPr>
              <w:autoSpaceDE w:val="0"/>
              <w:autoSpaceDN w:val="0"/>
              <w:adjustRightInd w:val="0"/>
              <w:spacing w:after="120"/>
            </w:pPr>
            <w:r w:rsidRPr="00DB5740">
              <w:t xml:space="preserve">Note that </w:t>
            </w:r>
            <w:r>
              <w:t>“</w:t>
            </w:r>
            <w:r w:rsidRPr="00DB5740">
              <w:t>publicly traded</w:t>
            </w:r>
            <w:r>
              <w:t>”</w:t>
            </w:r>
            <w:r w:rsidRPr="00DB5740">
              <w:t xml:space="preserve"> companies that </w:t>
            </w:r>
            <w:r>
              <w:t>show</w:t>
            </w:r>
            <w:r w:rsidRPr="00DB5740">
              <w:t xml:space="preserve"> a Califor</w:t>
            </w:r>
            <w:r>
              <w:t>n</w:t>
            </w:r>
            <w:r w:rsidRPr="00DB5740">
              <w:t>ia a</w:t>
            </w:r>
            <w:r>
              <w:t>d</w:t>
            </w:r>
            <w:r w:rsidRPr="00DB5740">
              <w:t>dress for t</w:t>
            </w:r>
            <w:r>
              <w:t>h</w:t>
            </w:r>
            <w:r w:rsidRPr="00DB5740">
              <w:t>e company</w:t>
            </w:r>
            <w:r>
              <w:t>’</w:t>
            </w:r>
            <w:r w:rsidRPr="00DB5740">
              <w:t>s principa</w:t>
            </w:r>
            <w:r>
              <w:t>l</w:t>
            </w:r>
            <w:r w:rsidRPr="00DB5740">
              <w:t xml:space="preserve"> executive offi</w:t>
            </w:r>
            <w:r>
              <w:t>c</w:t>
            </w:r>
            <w:r w:rsidRPr="00DB5740">
              <w:t>es are subject to</w:t>
            </w:r>
            <w:r>
              <w:t xml:space="preserve"> </w:t>
            </w:r>
            <w:r w:rsidRPr="00DB5740">
              <w:t>California l</w:t>
            </w:r>
            <w:r>
              <w:t>a</w:t>
            </w:r>
            <w:r w:rsidRPr="00DB5740">
              <w:t>ws o</w:t>
            </w:r>
            <w:r>
              <w:t>n</w:t>
            </w:r>
            <w:r w:rsidRPr="00DB5740">
              <w:t xml:space="preserve"> gender and</w:t>
            </w:r>
            <w:r>
              <w:t xml:space="preserve"> </w:t>
            </w:r>
            <w:r w:rsidRPr="00DB5740">
              <w:t>demographic diversit</w:t>
            </w:r>
            <w:r>
              <w:t>y</w:t>
            </w:r>
            <w:r w:rsidRPr="00DB5740">
              <w:t xml:space="preserve"> (Senate Bill 8</w:t>
            </w:r>
            <w:r>
              <w:t>2</w:t>
            </w:r>
            <w:r w:rsidRPr="00DB5740">
              <w:t>6 a</w:t>
            </w:r>
            <w:r w:rsidRPr="00DB5740">
              <w:t>nd Assembly Bi</w:t>
            </w:r>
            <w:r>
              <w:t>l</w:t>
            </w:r>
            <w:r w:rsidRPr="00DB5740">
              <w:t xml:space="preserve">l 969).  </w:t>
            </w:r>
            <w:r>
              <w:t>“</w:t>
            </w:r>
            <w:r w:rsidRPr="00DB5740">
              <w:t>Pu</w:t>
            </w:r>
            <w:r>
              <w:t>b</w:t>
            </w:r>
            <w:r w:rsidRPr="00DB5740">
              <w:t>licl</w:t>
            </w:r>
            <w:r>
              <w:t>y</w:t>
            </w:r>
            <w:r w:rsidRPr="00DB5740">
              <w:t xml:space="preserve"> traded</w:t>
            </w:r>
            <w:r>
              <w:t>”</w:t>
            </w:r>
            <w:r w:rsidRPr="00DB5740">
              <w:t xml:space="preserve"> c</w:t>
            </w:r>
            <w:r>
              <w:t>om</w:t>
            </w:r>
            <w:r w:rsidRPr="00DB5740">
              <w:t>panies are companies</w:t>
            </w:r>
            <w:r>
              <w:t xml:space="preserve"> </w:t>
            </w:r>
            <w:r w:rsidRPr="00DB5740">
              <w:t>with a class of</w:t>
            </w:r>
            <w:r>
              <w:t xml:space="preserve"> </w:t>
            </w:r>
            <w:r w:rsidRPr="00DB5740">
              <w:t>equity securities listed on</w:t>
            </w:r>
            <w:r>
              <w:t xml:space="preserve"> </w:t>
            </w:r>
            <w:r w:rsidRPr="00DB5740">
              <w:t>the NYSE, Nasda</w:t>
            </w:r>
            <w:r>
              <w:t>q</w:t>
            </w:r>
            <w:r w:rsidRPr="00DB5740">
              <w:t xml:space="preserve"> or NYSE American.</w:t>
            </w:r>
          </w:p>
        </w:tc>
        <w:tc>
          <w:tcPr>
            <w:tcW w:w="925" w:type="pct"/>
          </w:tcPr>
          <w:p w14:paraId="7AE4DFF3" w14:textId="77777777" w:rsidR="00771086" w:rsidRPr="00DB5740" w:rsidRDefault="005B5528" w:rsidP="00771086">
            <w:pPr>
              <w:autoSpaceDE w:val="0"/>
              <w:autoSpaceDN w:val="0"/>
              <w:adjustRightInd w:val="0"/>
              <w:spacing w:after="120"/>
            </w:pPr>
            <w:hyperlink r:id="rId35" w:history="1">
              <w:r w:rsidRPr="00DB5740">
                <w:rPr>
                  <w:rStyle w:val="Hyperlink"/>
                </w:rPr>
                <w:t>New Calif</w:t>
              </w:r>
              <w:r w:rsidRPr="00DB5740">
                <w:rPr>
                  <w:rStyle w:val="Hyperlink"/>
                </w:rPr>
                <w:t>ornia Law Will Require Increased Diversi</w:t>
              </w:r>
              <w:r>
                <w:rPr>
                  <w:rStyle w:val="Hyperlink"/>
                </w:rPr>
                <w:t>t</w:t>
              </w:r>
              <w:r w:rsidRPr="00DB5740">
                <w:rPr>
                  <w:rStyle w:val="Hyperlink"/>
                </w:rPr>
                <w:t>y on Public Boa</w:t>
              </w:r>
              <w:r>
                <w:rPr>
                  <w:rStyle w:val="Hyperlink"/>
                </w:rPr>
                <w:t>r</w:t>
              </w:r>
              <w:r w:rsidRPr="00DB5740">
                <w:rPr>
                  <w:rStyle w:val="Hyperlink"/>
                </w:rPr>
                <w:t>ds</w:t>
              </w:r>
            </w:hyperlink>
            <w:r w:rsidRPr="00DB5740">
              <w:t xml:space="preserve"> (Goodwin alert)</w:t>
            </w:r>
          </w:p>
          <w:p w14:paraId="3970647D" w14:textId="77777777" w:rsidR="00771086" w:rsidRPr="00DB5740" w:rsidRDefault="00771086" w:rsidP="00771086">
            <w:pPr>
              <w:autoSpaceDE w:val="0"/>
              <w:autoSpaceDN w:val="0"/>
              <w:adjustRightInd w:val="0"/>
              <w:spacing w:after="120"/>
            </w:pPr>
          </w:p>
          <w:p w14:paraId="27CBE8F4" w14:textId="77777777" w:rsidR="00771086" w:rsidRPr="00DB5740" w:rsidRDefault="005B5528" w:rsidP="00771086">
            <w:pPr>
              <w:autoSpaceDE w:val="0"/>
              <w:autoSpaceDN w:val="0"/>
              <w:adjustRightInd w:val="0"/>
              <w:spacing w:after="120"/>
            </w:pPr>
            <w:hyperlink r:id="rId36" w:history="1">
              <w:r w:rsidRPr="00DB5740">
                <w:rPr>
                  <w:rStyle w:val="Hyperlink"/>
                </w:rPr>
                <w:t>SEC Approves Nasdaq Board Diversity Rules</w:t>
              </w:r>
            </w:hyperlink>
            <w:r w:rsidRPr="00DB5740">
              <w:t xml:space="preserve"> (Goodwi</w:t>
            </w:r>
            <w:r>
              <w:t xml:space="preserve">n </w:t>
            </w:r>
            <w:r w:rsidRPr="00DB5740">
              <w:t>alert)</w:t>
            </w:r>
          </w:p>
        </w:tc>
        <w:tc>
          <w:tcPr>
            <w:tcW w:w="585" w:type="pct"/>
            <w:vAlign w:val="center"/>
          </w:tcPr>
          <w:p w14:paraId="54B48E70" w14:textId="77777777" w:rsidR="00771086" w:rsidRPr="00DB5740" w:rsidRDefault="00771086" w:rsidP="00771086">
            <w:pPr>
              <w:rPr>
                <w:b/>
                <w:i/>
                <w:color w:val="FF0000"/>
              </w:rPr>
            </w:pPr>
          </w:p>
        </w:tc>
        <w:tc>
          <w:tcPr>
            <w:tcW w:w="314" w:type="pct"/>
            <w:gridSpan w:val="2"/>
            <w:vAlign w:val="center"/>
          </w:tcPr>
          <w:p w14:paraId="2DC94890"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1DF1890B" w14:textId="77777777" w:rsidR="00771086" w:rsidRPr="00DB5740" w:rsidRDefault="005B5528" w:rsidP="00771086">
            <w:pPr>
              <w:jc w:val="center"/>
            </w:pPr>
            <w:r>
              <w:t>N</w:t>
            </w:r>
            <w:r w:rsidRPr="00DB5740">
              <w:t xml:space="preserve">o  </w:t>
            </w:r>
            <w:r w:rsidRPr="00DB5740">
              <w:rPr>
                <w:rFonts w:ascii="Segoe UI Symbol" w:eastAsia="MS Gothic" w:hAnsi="Segoe UI Symbol" w:cs="Segoe UI Symbol"/>
              </w:rPr>
              <w:t>☐</w:t>
            </w:r>
          </w:p>
        </w:tc>
      </w:tr>
      <w:tr w:rsidR="00000000" w14:paraId="38E7AE2A" w14:textId="77777777" w:rsidTr="00BF4090">
        <w:trPr>
          <w:cantSplit/>
          <w:jc w:val="center"/>
        </w:trPr>
        <w:tc>
          <w:tcPr>
            <w:tcW w:w="685" w:type="pct"/>
          </w:tcPr>
          <w:p w14:paraId="1C54D9A2" w14:textId="77777777" w:rsidR="00771086" w:rsidRPr="00DB5740" w:rsidRDefault="005B5528" w:rsidP="00771086">
            <w:pPr>
              <w:rPr>
                <w:sz w:val="21"/>
                <w:szCs w:val="21"/>
              </w:rPr>
            </w:pPr>
            <w:r w:rsidRPr="00DB5740">
              <w:rPr>
                <w:sz w:val="21"/>
                <w:szCs w:val="21"/>
              </w:rPr>
              <w:t>Registrant</w:t>
            </w:r>
            <w:r>
              <w:rPr>
                <w:sz w:val="21"/>
                <w:szCs w:val="21"/>
              </w:rPr>
              <w:t>’</w:t>
            </w:r>
            <w:r w:rsidRPr="00DB5740">
              <w:rPr>
                <w:sz w:val="21"/>
                <w:szCs w:val="21"/>
              </w:rPr>
              <w:t>s telephone number, including area code</w:t>
            </w:r>
          </w:p>
        </w:tc>
        <w:tc>
          <w:tcPr>
            <w:tcW w:w="584" w:type="pct"/>
          </w:tcPr>
          <w:p w14:paraId="7E2DCEE0" w14:textId="77777777" w:rsidR="00771086" w:rsidRPr="00DB5740" w:rsidRDefault="005B5528" w:rsidP="00771086">
            <w:r w:rsidRPr="00DB5740">
              <w:t xml:space="preserve">Form </w:t>
            </w:r>
            <w:r>
              <w:t>10</w:t>
            </w:r>
            <w:r>
              <w:noBreakHyphen/>
              <w:t>K</w:t>
            </w:r>
          </w:p>
          <w:p w14:paraId="3E665BF7" w14:textId="77777777" w:rsidR="00771086" w:rsidRPr="00DB5740" w:rsidRDefault="005B5528" w:rsidP="00771086">
            <w:r w:rsidRPr="00DB5740">
              <w:t>Cover Page</w:t>
            </w:r>
          </w:p>
        </w:tc>
        <w:tc>
          <w:tcPr>
            <w:tcW w:w="1907" w:type="pct"/>
          </w:tcPr>
          <w:p w14:paraId="77E2DE7B" w14:textId="77777777" w:rsidR="00771086" w:rsidRPr="00215BB8" w:rsidRDefault="005B5528" w:rsidP="00771086">
            <w:pPr>
              <w:autoSpaceDE w:val="0"/>
              <w:autoSpaceDN w:val="0"/>
              <w:adjustRightInd w:val="0"/>
              <w:spacing w:after="120"/>
              <w:rPr>
                <w:i/>
                <w:iCs/>
              </w:rPr>
            </w:pPr>
            <w:r w:rsidRPr="00215BB8">
              <w:rPr>
                <w:i/>
                <w:iCs/>
              </w:rPr>
              <w:t>Confirm that the correct telephone number is shown.</w:t>
            </w:r>
          </w:p>
        </w:tc>
        <w:tc>
          <w:tcPr>
            <w:tcW w:w="925" w:type="pct"/>
          </w:tcPr>
          <w:p w14:paraId="557E0706" w14:textId="77777777" w:rsidR="00771086" w:rsidRPr="00DB5740" w:rsidRDefault="00771086" w:rsidP="00771086">
            <w:pPr>
              <w:autoSpaceDE w:val="0"/>
              <w:autoSpaceDN w:val="0"/>
              <w:adjustRightInd w:val="0"/>
              <w:spacing w:after="120"/>
            </w:pPr>
          </w:p>
        </w:tc>
        <w:tc>
          <w:tcPr>
            <w:tcW w:w="585" w:type="pct"/>
            <w:vAlign w:val="center"/>
          </w:tcPr>
          <w:p w14:paraId="5EE05236" w14:textId="77777777" w:rsidR="00771086" w:rsidRPr="00DB5740" w:rsidRDefault="00771086" w:rsidP="00771086">
            <w:pPr>
              <w:rPr>
                <w:b/>
                <w:i/>
                <w:color w:val="FF0000"/>
              </w:rPr>
            </w:pPr>
          </w:p>
        </w:tc>
        <w:tc>
          <w:tcPr>
            <w:tcW w:w="314" w:type="pct"/>
            <w:gridSpan w:val="2"/>
            <w:vAlign w:val="center"/>
          </w:tcPr>
          <w:p w14:paraId="5EBEC412"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5774DA4D"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7AFCEA9E" w14:textId="77777777" w:rsidTr="00BF4090">
        <w:trPr>
          <w:cantSplit/>
          <w:jc w:val="center"/>
        </w:trPr>
        <w:tc>
          <w:tcPr>
            <w:tcW w:w="685" w:type="pct"/>
          </w:tcPr>
          <w:p w14:paraId="2B115434" w14:textId="77777777" w:rsidR="00771086" w:rsidRPr="00DB5740" w:rsidRDefault="005B5528" w:rsidP="00771086">
            <w:pPr>
              <w:rPr>
                <w:sz w:val="21"/>
                <w:szCs w:val="21"/>
              </w:rPr>
            </w:pPr>
            <w:r w:rsidRPr="00DB5740">
              <w:rPr>
                <w:sz w:val="21"/>
                <w:szCs w:val="21"/>
              </w:rPr>
              <w:t>Securities registered pursuant to Section 12(b) of th</w:t>
            </w:r>
            <w:r>
              <w:rPr>
                <w:sz w:val="21"/>
                <w:szCs w:val="21"/>
              </w:rPr>
              <w:t>e [Exchange] Act</w:t>
            </w:r>
          </w:p>
        </w:tc>
        <w:tc>
          <w:tcPr>
            <w:tcW w:w="584" w:type="pct"/>
          </w:tcPr>
          <w:p w14:paraId="52D82BA7" w14:textId="77777777" w:rsidR="00771086" w:rsidRPr="00DB5740" w:rsidRDefault="005B5528" w:rsidP="00771086">
            <w:r w:rsidRPr="00DB5740">
              <w:t xml:space="preserve">Form </w:t>
            </w:r>
            <w:r>
              <w:t>10</w:t>
            </w:r>
            <w:r>
              <w:noBreakHyphen/>
              <w:t>K</w:t>
            </w:r>
          </w:p>
          <w:p w14:paraId="4A0F7A90" w14:textId="77777777" w:rsidR="00771086" w:rsidRPr="00DB5740" w:rsidRDefault="005B5528" w:rsidP="00771086">
            <w:r w:rsidRPr="00DB5740">
              <w:t>Cover Page</w:t>
            </w:r>
          </w:p>
        </w:tc>
        <w:tc>
          <w:tcPr>
            <w:tcW w:w="1907" w:type="pct"/>
          </w:tcPr>
          <w:p w14:paraId="4EDDB86F" w14:textId="77777777" w:rsidR="00771086" w:rsidRPr="00215BB8" w:rsidRDefault="005B5528" w:rsidP="00771086">
            <w:pPr>
              <w:autoSpaceDE w:val="0"/>
              <w:autoSpaceDN w:val="0"/>
              <w:adjustRightInd w:val="0"/>
              <w:spacing w:after="120"/>
              <w:rPr>
                <w:i/>
                <w:iCs/>
              </w:rPr>
            </w:pPr>
            <w:r w:rsidRPr="00215BB8">
              <w:rPr>
                <w:i/>
                <w:iCs/>
              </w:rPr>
              <w:t>Confirm:</w:t>
            </w:r>
          </w:p>
          <w:p w14:paraId="2AF95729" w14:textId="77777777" w:rsidR="00771086" w:rsidRPr="00215BB8" w:rsidRDefault="005B5528" w:rsidP="00771086">
            <w:pPr>
              <w:numPr>
                <w:ilvl w:val="0"/>
                <w:numId w:val="11"/>
              </w:numPr>
              <w:autoSpaceDE w:val="0"/>
              <w:autoSpaceDN w:val="0"/>
              <w:adjustRightInd w:val="0"/>
              <w:spacing w:after="120"/>
              <w:ind w:left="331" w:hanging="180"/>
              <w:rPr>
                <w:i/>
                <w:iCs/>
              </w:rPr>
            </w:pPr>
            <w:r w:rsidRPr="00215BB8">
              <w:rPr>
                <w:i/>
                <w:iCs/>
              </w:rPr>
              <w:t>title of e</w:t>
            </w:r>
            <w:r w:rsidRPr="00215BB8">
              <w:rPr>
                <w:i/>
                <w:iCs/>
              </w:rPr>
              <w:t>ach class</w:t>
            </w:r>
          </w:p>
          <w:p w14:paraId="3A919BC2" w14:textId="77777777" w:rsidR="00771086" w:rsidRPr="00215BB8" w:rsidRDefault="005B5528" w:rsidP="00771086">
            <w:pPr>
              <w:numPr>
                <w:ilvl w:val="0"/>
                <w:numId w:val="11"/>
              </w:numPr>
              <w:autoSpaceDE w:val="0"/>
              <w:autoSpaceDN w:val="0"/>
              <w:adjustRightInd w:val="0"/>
              <w:spacing w:after="120"/>
              <w:ind w:left="331" w:hanging="180"/>
              <w:rPr>
                <w:i/>
                <w:iCs/>
              </w:rPr>
            </w:pPr>
            <w:r w:rsidRPr="00215BB8">
              <w:rPr>
                <w:i/>
                <w:iCs/>
              </w:rPr>
              <w:t>trading symbol(s)</w:t>
            </w:r>
          </w:p>
          <w:p w14:paraId="7F112F79" w14:textId="77777777" w:rsidR="00771086" w:rsidRPr="00215BB8" w:rsidRDefault="005B5528" w:rsidP="00771086">
            <w:pPr>
              <w:numPr>
                <w:ilvl w:val="0"/>
                <w:numId w:val="11"/>
              </w:numPr>
              <w:autoSpaceDE w:val="0"/>
              <w:autoSpaceDN w:val="0"/>
              <w:adjustRightInd w:val="0"/>
              <w:spacing w:after="120"/>
              <w:ind w:left="331" w:hanging="180"/>
              <w:rPr>
                <w:i/>
                <w:iCs/>
              </w:rPr>
            </w:pPr>
            <w:r w:rsidRPr="00215BB8">
              <w:rPr>
                <w:i/>
                <w:iCs/>
              </w:rPr>
              <w:t>name of each exchange on which registered</w:t>
            </w:r>
          </w:p>
        </w:tc>
        <w:tc>
          <w:tcPr>
            <w:tcW w:w="925" w:type="pct"/>
          </w:tcPr>
          <w:p w14:paraId="51573888" w14:textId="77777777" w:rsidR="00771086" w:rsidRPr="00DB5740" w:rsidRDefault="00771086" w:rsidP="00771086">
            <w:pPr>
              <w:autoSpaceDE w:val="0"/>
              <w:autoSpaceDN w:val="0"/>
              <w:adjustRightInd w:val="0"/>
              <w:spacing w:after="120"/>
            </w:pPr>
          </w:p>
          <w:p w14:paraId="1A2091C0" w14:textId="77777777" w:rsidR="00771086" w:rsidRPr="00DB5740" w:rsidRDefault="005B5528" w:rsidP="00771086">
            <w:pPr>
              <w:autoSpaceDE w:val="0"/>
              <w:autoSpaceDN w:val="0"/>
              <w:adjustRightInd w:val="0"/>
              <w:spacing w:after="120"/>
            </w:pPr>
            <w:r w:rsidRPr="00DB5740">
              <w:t>.</w:t>
            </w:r>
          </w:p>
        </w:tc>
        <w:tc>
          <w:tcPr>
            <w:tcW w:w="585" w:type="pct"/>
            <w:vAlign w:val="center"/>
          </w:tcPr>
          <w:p w14:paraId="6E842C24" w14:textId="77777777" w:rsidR="00771086" w:rsidRPr="00DB5740" w:rsidRDefault="00771086" w:rsidP="00771086">
            <w:pPr>
              <w:rPr>
                <w:b/>
                <w:i/>
                <w:color w:val="FF0000"/>
              </w:rPr>
            </w:pPr>
          </w:p>
        </w:tc>
        <w:tc>
          <w:tcPr>
            <w:tcW w:w="314" w:type="pct"/>
            <w:gridSpan w:val="2"/>
            <w:vAlign w:val="center"/>
          </w:tcPr>
          <w:p w14:paraId="5F9E6686"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5AD00FD9"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6158A477" w14:textId="77777777" w:rsidTr="00BF4090">
        <w:trPr>
          <w:cantSplit/>
          <w:jc w:val="center"/>
        </w:trPr>
        <w:tc>
          <w:tcPr>
            <w:tcW w:w="685" w:type="pct"/>
          </w:tcPr>
          <w:p w14:paraId="53C1BA17" w14:textId="77777777" w:rsidR="00771086" w:rsidRPr="00DB5740" w:rsidRDefault="005B5528" w:rsidP="00771086">
            <w:pPr>
              <w:rPr>
                <w:sz w:val="21"/>
                <w:szCs w:val="21"/>
              </w:rPr>
            </w:pPr>
            <w:r w:rsidRPr="00DB5740">
              <w:rPr>
                <w:sz w:val="21"/>
                <w:szCs w:val="21"/>
              </w:rPr>
              <w:t xml:space="preserve">Securities registered pursuant to Section 12(g) of the </w:t>
            </w:r>
            <w:r>
              <w:rPr>
                <w:sz w:val="21"/>
                <w:szCs w:val="21"/>
              </w:rPr>
              <w:t>[Exchange] Act</w:t>
            </w:r>
          </w:p>
        </w:tc>
        <w:tc>
          <w:tcPr>
            <w:tcW w:w="584" w:type="pct"/>
          </w:tcPr>
          <w:p w14:paraId="4A0CE696" w14:textId="77777777" w:rsidR="00771086" w:rsidRPr="00DB5740" w:rsidRDefault="005B5528" w:rsidP="00771086">
            <w:r w:rsidRPr="00DB5740">
              <w:t xml:space="preserve">Form </w:t>
            </w:r>
            <w:r>
              <w:t>10</w:t>
            </w:r>
            <w:r>
              <w:noBreakHyphen/>
              <w:t>K</w:t>
            </w:r>
          </w:p>
          <w:p w14:paraId="6BF6E759" w14:textId="77777777" w:rsidR="00771086" w:rsidRPr="00DB5740" w:rsidRDefault="005B5528" w:rsidP="00771086">
            <w:r w:rsidRPr="00DB5740">
              <w:t>Cover Page</w:t>
            </w:r>
          </w:p>
        </w:tc>
        <w:tc>
          <w:tcPr>
            <w:tcW w:w="1907" w:type="pct"/>
          </w:tcPr>
          <w:p w14:paraId="7A163FE2" w14:textId="77777777" w:rsidR="00771086" w:rsidRPr="00215BB8" w:rsidRDefault="005B5528" w:rsidP="00771086">
            <w:pPr>
              <w:autoSpaceDE w:val="0"/>
              <w:autoSpaceDN w:val="0"/>
              <w:adjustRightInd w:val="0"/>
              <w:spacing w:after="120"/>
              <w:rPr>
                <w:i/>
                <w:iCs/>
              </w:rPr>
            </w:pPr>
            <w:r w:rsidRPr="00215BB8">
              <w:rPr>
                <w:i/>
                <w:iCs/>
              </w:rPr>
              <w:t>Confirm title of class</w:t>
            </w:r>
          </w:p>
        </w:tc>
        <w:tc>
          <w:tcPr>
            <w:tcW w:w="925" w:type="pct"/>
          </w:tcPr>
          <w:p w14:paraId="429DB95D" w14:textId="77777777" w:rsidR="00771086" w:rsidRPr="00DB5740" w:rsidRDefault="00771086" w:rsidP="00771086">
            <w:pPr>
              <w:autoSpaceDE w:val="0"/>
              <w:autoSpaceDN w:val="0"/>
              <w:adjustRightInd w:val="0"/>
              <w:spacing w:after="120"/>
            </w:pPr>
          </w:p>
        </w:tc>
        <w:tc>
          <w:tcPr>
            <w:tcW w:w="585" w:type="pct"/>
            <w:vAlign w:val="center"/>
          </w:tcPr>
          <w:p w14:paraId="37DCECCB" w14:textId="77777777" w:rsidR="00771086" w:rsidRPr="00DB5740" w:rsidRDefault="00771086" w:rsidP="00771086">
            <w:pPr>
              <w:rPr>
                <w:b/>
                <w:i/>
                <w:color w:val="FF0000"/>
              </w:rPr>
            </w:pPr>
          </w:p>
        </w:tc>
        <w:tc>
          <w:tcPr>
            <w:tcW w:w="314" w:type="pct"/>
            <w:gridSpan w:val="2"/>
            <w:vAlign w:val="center"/>
          </w:tcPr>
          <w:p w14:paraId="3174F094"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6E3E2685"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0DDD6CF3" w14:textId="77777777" w:rsidTr="00BF4090">
        <w:trPr>
          <w:cantSplit/>
          <w:jc w:val="center"/>
        </w:trPr>
        <w:tc>
          <w:tcPr>
            <w:tcW w:w="685" w:type="pct"/>
          </w:tcPr>
          <w:p w14:paraId="20AA55A7" w14:textId="77777777" w:rsidR="00771086" w:rsidRPr="00DB5740" w:rsidRDefault="005B5528" w:rsidP="00771086">
            <w:pPr>
              <w:rPr>
                <w:sz w:val="21"/>
                <w:szCs w:val="21"/>
              </w:rPr>
            </w:pPr>
            <w:r w:rsidRPr="00DB5740">
              <w:rPr>
                <w:sz w:val="21"/>
                <w:szCs w:val="21"/>
              </w:rPr>
              <w:lastRenderedPageBreak/>
              <w:t>Indicate by check mark if the registrant</w:t>
            </w:r>
            <w:r w:rsidRPr="00DB5740">
              <w:rPr>
                <w:sz w:val="21"/>
                <w:szCs w:val="21"/>
              </w:rPr>
              <w:t xml:space="preserve"> is a well-known seasoned issuer, as defined in Rule 405 of the Securities Act.</w:t>
            </w:r>
          </w:p>
        </w:tc>
        <w:tc>
          <w:tcPr>
            <w:tcW w:w="584" w:type="pct"/>
          </w:tcPr>
          <w:p w14:paraId="41A4BB23" w14:textId="77777777" w:rsidR="00771086" w:rsidRPr="00DB5740" w:rsidRDefault="005B5528" w:rsidP="00771086">
            <w:r w:rsidRPr="00DB5740">
              <w:t xml:space="preserve">Form </w:t>
            </w:r>
            <w:r>
              <w:t>10</w:t>
            </w:r>
            <w:r>
              <w:noBreakHyphen/>
              <w:t>K</w:t>
            </w:r>
          </w:p>
          <w:p w14:paraId="67AC14E4" w14:textId="77777777" w:rsidR="00771086" w:rsidRPr="00DB5740" w:rsidRDefault="005B5528" w:rsidP="00771086">
            <w:r w:rsidRPr="00DB5740">
              <w:t>Cover Page</w:t>
            </w:r>
          </w:p>
        </w:tc>
        <w:tc>
          <w:tcPr>
            <w:tcW w:w="1907" w:type="pct"/>
          </w:tcPr>
          <w:p w14:paraId="4FAA4D3D" w14:textId="77777777" w:rsidR="00771086" w:rsidRPr="00DB5740" w:rsidRDefault="005B5528" w:rsidP="00771086">
            <w:pPr>
              <w:autoSpaceDE w:val="0"/>
              <w:autoSpaceDN w:val="0"/>
              <w:adjustRightInd w:val="0"/>
              <w:spacing w:after="120"/>
            </w:pPr>
            <w:r w:rsidRPr="00DB5740">
              <w:t xml:space="preserve">Determine whether the company is a </w:t>
            </w:r>
            <w:r>
              <w:t>“</w:t>
            </w:r>
            <w:r w:rsidRPr="00DB5740">
              <w:t>well-known seasoned issuer</w:t>
            </w:r>
            <w:r>
              <w:t>”</w:t>
            </w:r>
            <w:r w:rsidRPr="00DB5740">
              <w:t xml:space="preserve"> as defined in </w:t>
            </w:r>
            <w:hyperlink r:id="rId37" w:anchor="230.405" w:history="1">
              <w:r w:rsidRPr="00DB5740">
                <w:rPr>
                  <w:rStyle w:val="Hyperlink"/>
                </w:rPr>
                <w:t>Rule 405</w:t>
              </w:r>
            </w:hyperlink>
            <w:r w:rsidRPr="00DB5740">
              <w:t xml:space="preserve">* </w:t>
            </w:r>
            <w:r>
              <w:t xml:space="preserve">under the Securities Act of 1933 (Securities Act) </w:t>
            </w:r>
            <w:r w:rsidRPr="00DB5740">
              <w:t xml:space="preserve">and check </w:t>
            </w:r>
            <w:r>
              <w:t>t</w:t>
            </w:r>
            <w:r w:rsidRPr="00DB5740">
              <w:t>he appropriate box.</w:t>
            </w:r>
          </w:p>
          <w:p w14:paraId="5361F1E7" w14:textId="77777777" w:rsidR="00771086" w:rsidRPr="00DB5740" w:rsidRDefault="005B5528" w:rsidP="00771086">
            <w:pPr>
              <w:autoSpaceDE w:val="0"/>
              <w:autoSpaceDN w:val="0"/>
              <w:adjustRightInd w:val="0"/>
              <w:spacing w:after="120"/>
            </w:pPr>
            <w:r w:rsidRPr="00DB5740">
              <w:t>* Gene</w:t>
            </w:r>
            <w:r>
              <w:t>r</w:t>
            </w:r>
            <w:r w:rsidRPr="00DB5740">
              <w:t>ally, a company that is (1) current and timely in its Exchange Act reports for at least one year, (2) has either</w:t>
            </w:r>
            <w:r>
              <w:t xml:space="preserve"> </w:t>
            </w:r>
            <w:r w:rsidRPr="00DB5740">
              <w:t>(a) $700 million of worldwide publ</w:t>
            </w:r>
            <w:r w:rsidRPr="00DB5740">
              <w:t>ic common equity float or (b) during the preceding three years has issued $1 b</w:t>
            </w:r>
            <w:r>
              <w:t>i</w:t>
            </w:r>
            <w:r w:rsidRPr="00DB5740">
              <w:t xml:space="preserve">llion or more of non-convertible securities, other than common equity, in registered offerings for cash, and (3) is not an </w:t>
            </w:r>
            <w:r>
              <w:t>“</w:t>
            </w:r>
            <w:r w:rsidRPr="00DB5740">
              <w:t>ineligible issuer</w:t>
            </w:r>
            <w:r>
              <w:t>”</w:t>
            </w:r>
            <w:r w:rsidRPr="00DB5740">
              <w:t xml:space="preserve"> as defined in </w:t>
            </w:r>
            <w:hyperlink r:id="rId38" w:anchor="230.405" w:history="1">
              <w:r w:rsidRPr="00DB5740">
                <w:rPr>
                  <w:rStyle w:val="Hyperlink"/>
                </w:rPr>
                <w:t>Rule 405</w:t>
              </w:r>
            </w:hyperlink>
            <w:r w:rsidRPr="00DB5740">
              <w:t>.</w:t>
            </w:r>
          </w:p>
          <w:p w14:paraId="6F8A1577" w14:textId="77777777" w:rsidR="00771086" w:rsidRPr="00DB5740" w:rsidRDefault="005B5528" w:rsidP="00771086">
            <w:pPr>
              <w:autoSpaceDE w:val="0"/>
              <w:autoSpaceDN w:val="0"/>
              <w:adjustRightInd w:val="0"/>
              <w:spacing w:after="120"/>
            </w:pPr>
            <w:r w:rsidRPr="00DB5740">
              <w:t xml:space="preserve">Note that not all </w:t>
            </w:r>
            <w:r>
              <w:t>“</w:t>
            </w:r>
            <w:r w:rsidRPr="00DB5740">
              <w:t>well-known seasoned issuers</w:t>
            </w:r>
            <w:r>
              <w:t>”</w:t>
            </w:r>
            <w:r w:rsidRPr="00DB5740">
              <w:t xml:space="preserve"> will be </w:t>
            </w:r>
            <w:r>
              <w:t>“</w:t>
            </w:r>
            <w:r w:rsidRPr="00DB5740">
              <w:t>large accele</w:t>
            </w:r>
            <w:r>
              <w:t>r</w:t>
            </w:r>
            <w:r w:rsidRPr="00DB5740">
              <w:t>ated filers</w:t>
            </w:r>
            <w:r>
              <w:t>”</w:t>
            </w:r>
            <w:r w:rsidRPr="00DB5740">
              <w:t xml:space="preserve"> due </w:t>
            </w:r>
            <w:r>
              <w:t>t</w:t>
            </w:r>
            <w:r w:rsidRPr="00DB5740">
              <w:t xml:space="preserve">o differences in the date for </w:t>
            </w:r>
            <w:r>
              <w:t xml:space="preserve">determination </w:t>
            </w:r>
            <w:r w:rsidRPr="00DB5740">
              <w:t xml:space="preserve">of public float </w:t>
            </w:r>
            <w:r>
              <w:t>as the well-known seasoned iss</w:t>
            </w:r>
            <w:r>
              <w:t xml:space="preserve">uer definition looks back 60 days from the date of filing the 10-K </w:t>
            </w:r>
            <w:r w:rsidRPr="00DB5740">
              <w:t xml:space="preserve">and the exclusion of </w:t>
            </w:r>
            <w:r>
              <w:t>“</w:t>
            </w:r>
            <w:r w:rsidRPr="00DB5740">
              <w:t>ineli</w:t>
            </w:r>
            <w:r>
              <w:t>g</w:t>
            </w:r>
            <w:r w:rsidRPr="00DB5740">
              <w:t>ible issu</w:t>
            </w:r>
            <w:r>
              <w:t>e</w:t>
            </w:r>
            <w:r w:rsidRPr="00DB5740">
              <w:t>rs</w:t>
            </w:r>
            <w:r>
              <w:t>”</w:t>
            </w:r>
            <w:r w:rsidRPr="00DB5740">
              <w:t xml:space="preserve"> from the</w:t>
            </w:r>
            <w:r>
              <w:t xml:space="preserve"> </w:t>
            </w:r>
            <w:r w:rsidRPr="00DB5740">
              <w:t xml:space="preserve">definition </w:t>
            </w:r>
            <w:r>
              <w:t>o</w:t>
            </w:r>
            <w:r w:rsidRPr="00DB5740">
              <w:t>f wel</w:t>
            </w:r>
            <w:r>
              <w:t>l</w:t>
            </w:r>
            <w:r w:rsidRPr="00DB5740">
              <w:t>-known seasoned issuer.</w:t>
            </w:r>
          </w:p>
        </w:tc>
        <w:tc>
          <w:tcPr>
            <w:tcW w:w="925" w:type="pct"/>
          </w:tcPr>
          <w:p w14:paraId="1F665B50" w14:textId="77777777" w:rsidR="00771086" w:rsidRPr="00DB5740" w:rsidRDefault="005B5528" w:rsidP="00771086">
            <w:pPr>
              <w:autoSpaceDE w:val="0"/>
              <w:autoSpaceDN w:val="0"/>
              <w:adjustRightInd w:val="0"/>
              <w:spacing w:after="120"/>
            </w:pPr>
            <w:hyperlink r:id="rId39" w:anchor="230.405" w:history="1">
              <w:r w:rsidRPr="00DB5740">
                <w:rPr>
                  <w:rStyle w:val="Hyperlink"/>
                </w:rPr>
                <w:t>Rule 405</w:t>
              </w:r>
            </w:hyperlink>
          </w:p>
        </w:tc>
        <w:tc>
          <w:tcPr>
            <w:tcW w:w="585" w:type="pct"/>
            <w:vAlign w:val="center"/>
          </w:tcPr>
          <w:p w14:paraId="34C9C0E3" w14:textId="77777777" w:rsidR="00771086" w:rsidRPr="00DB5740" w:rsidRDefault="00771086" w:rsidP="00771086">
            <w:pPr>
              <w:rPr>
                <w:b/>
                <w:i/>
                <w:color w:val="FF0000"/>
              </w:rPr>
            </w:pPr>
          </w:p>
        </w:tc>
        <w:tc>
          <w:tcPr>
            <w:tcW w:w="314" w:type="pct"/>
            <w:gridSpan w:val="2"/>
            <w:vAlign w:val="center"/>
          </w:tcPr>
          <w:p w14:paraId="3AF9A07A"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158E4443"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60713294" w14:textId="77777777" w:rsidTr="00BF4090">
        <w:trPr>
          <w:cantSplit/>
          <w:jc w:val="center"/>
        </w:trPr>
        <w:tc>
          <w:tcPr>
            <w:tcW w:w="685" w:type="pct"/>
          </w:tcPr>
          <w:p w14:paraId="02A95902" w14:textId="77777777" w:rsidR="00771086" w:rsidRPr="00DB5740" w:rsidRDefault="005B5528" w:rsidP="00771086">
            <w:pPr>
              <w:rPr>
                <w:sz w:val="21"/>
                <w:szCs w:val="21"/>
              </w:rPr>
            </w:pPr>
            <w:r w:rsidRPr="00DB5740">
              <w:rPr>
                <w:sz w:val="21"/>
                <w:szCs w:val="21"/>
              </w:rPr>
              <w:t xml:space="preserve">Indicate by check </w:t>
            </w:r>
            <w:r>
              <w:rPr>
                <w:sz w:val="21"/>
                <w:szCs w:val="21"/>
              </w:rPr>
              <w:t>m</w:t>
            </w:r>
            <w:r w:rsidRPr="00DB5740">
              <w:rPr>
                <w:sz w:val="21"/>
                <w:szCs w:val="21"/>
              </w:rPr>
              <w:t>ark i</w:t>
            </w:r>
            <w:r>
              <w:rPr>
                <w:sz w:val="21"/>
                <w:szCs w:val="21"/>
              </w:rPr>
              <w:t>f</w:t>
            </w:r>
            <w:r w:rsidRPr="00DB5740">
              <w:rPr>
                <w:sz w:val="21"/>
                <w:szCs w:val="21"/>
              </w:rPr>
              <w:t xml:space="preserve"> the regist</w:t>
            </w:r>
            <w:r>
              <w:rPr>
                <w:sz w:val="21"/>
                <w:szCs w:val="21"/>
              </w:rPr>
              <w:t>r</w:t>
            </w:r>
            <w:r w:rsidRPr="00DB5740">
              <w:rPr>
                <w:sz w:val="21"/>
                <w:szCs w:val="21"/>
              </w:rPr>
              <w:t>ant is not required t</w:t>
            </w:r>
            <w:r>
              <w:rPr>
                <w:sz w:val="21"/>
                <w:szCs w:val="21"/>
              </w:rPr>
              <w:t xml:space="preserve">o </w:t>
            </w:r>
            <w:r w:rsidRPr="00DB5740">
              <w:rPr>
                <w:sz w:val="21"/>
                <w:szCs w:val="21"/>
              </w:rPr>
              <w:t xml:space="preserve">file reports pursuant to Section 13 or Section 15(d) of the </w:t>
            </w:r>
            <w:r>
              <w:rPr>
                <w:sz w:val="21"/>
                <w:szCs w:val="21"/>
              </w:rPr>
              <w:t xml:space="preserve">[Exchange] </w:t>
            </w:r>
            <w:r w:rsidRPr="00DB5740">
              <w:rPr>
                <w:sz w:val="21"/>
                <w:szCs w:val="21"/>
              </w:rPr>
              <w:t>Act.</w:t>
            </w:r>
          </w:p>
        </w:tc>
        <w:tc>
          <w:tcPr>
            <w:tcW w:w="584" w:type="pct"/>
          </w:tcPr>
          <w:p w14:paraId="35C85414" w14:textId="77777777" w:rsidR="00771086" w:rsidRPr="00DB5740" w:rsidRDefault="005B5528" w:rsidP="00771086">
            <w:r>
              <w:t>F</w:t>
            </w:r>
            <w:r w:rsidRPr="00DB5740">
              <w:t xml:space="preserve">orm </w:t>
            </w:r>
            <w:r>
              <w:t>10</w:t>
            </w:r>
            <w:r>
              <w:noBreakHyphen/>
              <w:t>K</w:t>
            </w:r>
          </w:p>
          <w:p w14:paraId="614E5F81" w14:textId="77777777" w:rsidR="00771086" w:rsidRPr="00DB5740" w:rsidRDefault="005B5528" w:rsidP="00771086">
            <w:r w:rsidRPr="00DB5740">
              <w:t>Cover Pag</w:t>
            </w:r>
            <w:r>
              <w:t>e</w:t>
            </w:r>
          </w:p>
        </w:tc>
        <w:tc>
          <w:tcPr>
            <w:tcW w:w="1907" w:type="pct"/>
          </w:tcPr>
          <w:p w14:paraId="16B2B959" w14:textId="77777777" w:rsidR="00771086" w:rsidRDefault="005B5528" w:rsidP="00771086">
            <w:pPr>
              <w:autoSpaceDE w:val="0"/>
              <w:autoSpaceDN w:val="0"/>
              <w:adjustRightInd w:val="0"/>
              <w:spacing w:after="120"/>
            </w:pPr>
            <w:r w:rsidRPr="00DB5740">
              <w:t>Check if the company is a voluntary filer (</w:t>
            </w:r>
            <w:r w:rsidRPr="00DB5740">
              <w:rPr>
                <w:i/>
                <w:iCs/>
              </w:rPr>
              <w:t>i.e.,</w:t>
            </w:r>
            <w:r w:rsidRPr="00DB5740">
              <w:t xml:space="preserve"> has no class of securities registere</w:t>
            </w:r>
            <w:r w:rsidRPr="00DB5740">
              <w:t>d pursuant to Section 12(b) or Section 12(g) and files Exchange Act reports voluntarily pursuant to Section 15(d))</w:t>
            </w:r>
            <w:r>
              <w:t>.</w:t>
            </w:r>
          </w:p>
          <w:p w14:paraId="617D4ADF" w14:textId="77777777" w:rsidR="00771086" w:rsidRPr="00DB5740" w:rsidRDefault="00771086" w:rsidP="00771086">
            <w:pPr>
              <w:autoSpaceDE w:val="0"/>
              <w:autoSpaceDN w:val="0"/>
              <w:adjustRightInd w:val="0"/>
              <w:spacing w:after="120"/>
            </w:pPr>
          </w:p>
        </w:tc>
        <w:tc>
          <w:tcPr>
            <w:tcW w:w="925" w:type="pct"/>
          </w:tcPr>
          <w:p w14:paraId="1EAE280D" w14:textId="77777777" w:rsidR="00771086" w:rsidRPr="00DB5740" w:rsidRDefault="005B5528" w:rsidP="00771086">
            <w:pPr>
              <w:autoSpaceDE w:val="0"/>
              <w:autoSpaceDN w:val="0"/>
              <w:adjustRightInd w:val="0"/>
              <w:spacing w:after="120"/>
            </w:pPr>
            <w:r>
              <w:t>A note on the form states that “[c]hecking the box above will not relieve any registrant required to file reports pursuant to Section 13 or</w:t>
            </w:r>
            <w:r>
              <w:t xml:space="preserve"> 15(d) of the Exchange Act from their obligations under those Sections.”</w:t>
            </w:r>
          </w:p>
        </w:tc>
        <w:tc>
          <w:tcPr>
            <w:tcW w:w="585" w:type="pct"/>
            <w:vAlign w:val="center"/>
          </w:tcPr>
          <w:p w14:paraId="1A4348CD" w14:textId="77777777" w:rsidR="00771086" w:rsidRPr="00DB5740" w:rsidRDefault="00771086" w:rsidP="00771086">
            <w:pPr>
              <w:rPr>
                <w:b/>
                <w:i/>
                <w:color w:val="FF0000"/>
              </w:rPr>
            </w:pPr>
          </w:p>
        </w:tc>
        <w:tc>
          <w:tcPr>
            <w:tcW w:w="314" w:type="pct"/>
            <w:gridSpan w:val="2"/>
            <w:vAlign w:val="center"/>
          </w:tcPr>
          <w:p w14:paraId="224C9E4A"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70615119"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74597AB9" w14:textId="77777777" w:rsidTr="00BF4090">
        <w:trPr>
          <w:cantSplit/>
          <w:jc w:val="center"/>
        </w:trPr>
        <w:tc>
          <w:tcPr>
            <w:tcW w:w="685" w:type="pct"/>
          </w:tcPr>
          <w:p w14:paraId="71AE3366" w14:textId="77777777" w:rsidR="00771086" w:rsidRPr="00DB5740" w:rsidRDefault="005B5528" w:rsidP="00771086">
            <w:pPr>
              <w:rPr>
                <w:sz w:val="21"/>
                <w:szCs w:val="21"/>
              </w:rPr>
            </w:pPr>
            <w:r w:rsidRPr="00DB5740">
              <w:lastRenderedPageBreak/>
              <w:t xml:space="preserve">Indicate by check mark whether the registrant (1) has filed all reports required to be filed by Section 13 or 15(d) of the </w:t>
            </w:r>
            <w:r>
              <w:t xml:space="preserve">Securities </w:t>
            </w:r>
            <w:r w:rsidRPr="00DB5740">
              <w:t xml:space="preserve">Exchange Act </w:t>
            </w:r>
            <w:r>
              <w:t xml:space="preserve">of 1934 </w:t>
            </w:r>
            <w:r w:rsidRPr="00DB5740">
              <w:t>during the pre</w:t>
            </w:r>
            <w:r w:rsidRPr="00DB5740">
              <w:t>ceding 12 months (or for such shorter period that the registrant was required to fille such reports), and (2) has been subject to such filing requirements for the past 90 days.</w:t>
            </w:r>
          </w:p>
        </w:tc>
        <w:tc>
          <w:tcPr>
            <w:tcW w:w="584" w:type="pct"/>
          </w:tcPr>
          <w:p w14:paraId="42F6D5E0" w14:textId="77777777" w:rsidR="00771086" w:rsidRPr="00DB5740" w:rsidRDefault="005B5528" w:rsidP="00771086">
            <w:r w:rsidRPr="00DB5740">
              <w:t xml:space="preserve">Form </w:t>
            </w:r>
            <w:r>
              <w:t>10</w:t>
            </w:r>
            <w:r>
              <w:noBreakHyphen/>
              <w:t>K</w:t>
            </w:r>
          </w:p>
          <w:p w14:paraId="1277DC1A" w14:textId="77777777" w:rsidR="00771086" w:rsidRPr="00DB5740" w:rsidRDefault="005B5528" w:rsidP="00771086">
            <w:r w:rsidRPr="00DB5740">
              <w:t>Cover Page</w:t>
            </w:r>
          </w:p>
        </w:tc>
        <w:tc>
          <w:tcPr>
            <w:tcW w:w="1907" w:type="pct"/>
          </w:tcPr>
          <w:p w14:paraId="1B43903D" w14:textId="77777777" w:rsidR="00771086" w:rsidRPr="00215BB8" w:rsidRDefault="005B5528" w:rsidP="00771086">
            <w:pPr>
              <w:autoSpaceDE w:val="0"/>
              <w:autoSpaceDN w:val="0"/>
              <w:adjustRightInd w:val="0"/>
              <w:spacing w:after="120"/>
              <w:rPr>
                <w:i/>
                <w:iCs/>
              </w:rPr>
            </w:pPr>
            <w:r w:rsidRPr="00215BB8">
              <w:rPr>
                <w:i/>
                <w:iCs/>
              </w:rPr>
              <w:t>Confirm that the company has filed, not later than the app</w:t>
            </w:r>
            <w:r w:rsidRPr="00215BB8">
              <w:rPr>
                <w:i/>
                <w:iCs/>
              </w:rPr>
              <w:t>licable deadline, each of the following reports:</w:t>
            </w:r>
          </w:p>
          <w:p w14:paraId="0A012FE2" w14:textId="77777777" w:rsidR="00771086" w:rsidRPr="00215BB8" w:rsidRDefault="005B5528" w:rsidP="00771086">
            <w:pPr>
              <w:numPr>
                <w:ilvl w:val="0"/>
                <w:numId w:val="20"/>
              </w:numPr>
              <w:autoSpaceDE w:val="0"/>
              <w:autoSpaceDN w:val="0"/>
              <w:adjustRightInd w:val="0"/>
              <w:spacing w:after="120"/>
              <w:ind w:left="436"/>
              <w:rPr>
                <w:i/>
                <w:iCs/>
              </w:rPr>
            </w:pPr>
            <w:r w:rsidRPr="00215BB8">
              <w:rPr>
                <w:i/>
                <w:iCs/>
              </w:rPr>
              <w:t>Form 10</w:t>
            </w:r>
            <w:r w:rsidRPr="00215BB8">
              <w:rPr>
                <w:i/>
                <w:iCs/>
              </w:rPr>
              <w:noBreakHyphen/>
              <w:t>K annual report</w:t>
            </w:r>
          </w:p>
          <w:p w14:paraId="6A969BA9" w14:textId="77777777" w:rsidR="00771086" w:rsidRPr="00215BB8" w:rsidRDefault="005B5528" w:rsidP="00771086">
            <w:pPr>
              <w:numPr>
                <w:ilvl w:val="0"/>
                <w:numId w:val="20"/>
              </w:numPr>
              <w:autoSpaceDE w:val="0"/>
              <w:autoSpaceDN w:val="0"/>
              <w:adjustRightInd w:val="0"/>
              <w:spacing w:after="120"/>
              <w:ind w:left="436"/>
              <w:rPr>
                <w:i/>
                <w:iCs/>
              </w:rPr>
            </w:pPr>
            <w:r w:rsidRPr="00215BB8">
              <w:rPr>
                <w:i/>
                <w:iCs/>
              </w:rPr>
              <w:t>Schedule 14A definitive proxy statement*</w:t>
            </w:r>
          </w:p>
          <w:p w14:paraId="2EDE82D4" w14:textId="77777777" w:rsidR="00771086" w:rsidRPr="00215BB8" w:rsidRDefault="005B5528" w:rsidP="00771086">
            <w:pPr>
              <w:numPr>
                <w:ilvl w:val="0"/>
                <w:numId w:val="20"/>
              </w:numPr>
              <w:autoSpaceDE w:val="0"/>
              <w:autoSpaceDN w:val="0"/>
              <w:adjustRightInd w:val="0"/>
              <w:spacing w:after="120"/>
              <w:ind w:left="436"/>
              <w:rPr>
                <w:i/>
                <w:iCs/>
              </w:rPr>
            </w:pPr>
            <w:r w:rsidRPr="00215BB8">
              <w:rPr>
                <w:i/>
                <w:iCs/>
              </w:rPr>
              <w:t>Form 10-Q quarterly report</w:t>
            </w:r>
          </w:p>
          <w:p w14:paraId="294DD017" w14:textId="77777777" w:rsidR="00771086" w:rsidRPr="00215BB8" w:rsidRDefault="005B5528" w:rsidP="00771086">
            <w:pPr>
              <w:numPr>
                <w:ilvl w:val="0"/>
                <w:numId w:val="20"/>
              </w:numPr>
              <w:autoSpaceDE w:val="0"/>
              <w:autoSpaceDN w:val="0"/>
              <w:adjustRightInd w:val="0"/>
              <w:spacing w:after="120"/>
              <w:ind w:left="436"/>
              <w:rPr>
                <w:i/>
                <w:iCs/>
              </w:rPr>
            </w:pPr>
            <w:r w:rsidRPr="00215BB8">
              <w:rPr>
                <w:i/>
                <w:iCs/>
              </w:rPr>
              <w:t>Form 8-K current report for voting results of annual meeting</w:t>
            </w:r>
          </w:p>
          <w:p w14:paraId="2934CA5D" w14:textId="77777777" w:rsidR="00771086" w:rsidRPr="00215BB8" w:rsidRDefault="005B5528" w:rsidP="00771086">
            <w:pPr>
              <w:numPr>
                <w:ilvl w:val="0"/>
                <w:numId w:val="20"/>
              </w:numPr>
              <w:autoSpaceDE w:val="0"/>
              <w:autoSpaceDN w:val="0"/>
              <w:adjustRightInd w:val="0"/>
              <w:spacing w:after="120"/>
              <w:ind w:left="436"/>
              <w:rPr>
                <w:i/>
                <w:iCs/>
              </w:rPr>
            </w:pPr>
            <w:r w:rsidRPr="00215BB8">
              <w:rPr>
                <w:i/>
                <w:iCs/>
              </w:rPr>
              <w:t>Form 8-K current report for results of say-on-frequenc</w:t>
            </w:r>
            <w:r w:rsidRPr="00215BB8">
              <w:rPr>
                <w:i/>
                <w:iCs/>
              </w:rPr>
              <w:t>y vote, if applicable</w:t>
            </w:r>
          </w:p>
          <w:p w14:paraId="69441A9D" w14:textId="77777777" w:rsidR="00771086" w:rsidRPr="00215BB8" w:rsidRDefault="005B5528" w:rsidP="00771086">
            <w:pPr>
              <w:numPr>
                <w:ilvl w:val="0"/>
                <w:numId w:val="20"/>
              </w:numPr>
              <w:autoSpaceDE w:val="0"/>
              <w:autoSpaceDN w:val="0"/>
              <w:adjustRightInd w:val="0"/>
              <w:spacing w:after="120"/>
              <w:ind w:left="436"/>
              <w:rPr>
                <w:i/>
                <w:iCs/>
              </w:rPr>
            </w:pPr>
            <w:r w:rsidRPr="00215BB8">
              <w:rPr>
                <w:i/>
                <w:iCs/>
              </w:rPr>
              <w:t>Form 8-K current report for each reportable event that requires timely filing**</w:t>
            </w:r>
          </w:p>
          <w:p w14:paraId="74BDE827" w14:textId="77777777" w:rsidR="00771086" w:rsidRPr="00215BB8" w:rsidRDefault="005B5528" w:rsidP="00771086">
            <w:pPr>
              <w:autoSpaceDE w:val="0"/>
              <w:autoSpaceDN w:val="0"/>
              <w:adjustRightInd w:val="0"/>
              <w:spacing w:after="120"/>
              <w:rPr>
                <w:i/>
                <w:iCs/>
              </w:rPr>
            </w:pPr>
            <w:r w:rsidRPr="00215BB8">
              <w:rPr>
                <w:i/>
                <w:iCs/>
              </w:rPr>
              <w:t>* If the Form 10</w:t>
            </w:r>
            <w:r w:rsidRPr="00215BB8">
              <w:rPr>
                <w:i/>
                <w:iCs/>
              </w:rPr>
              <w:noBreakHyphen/>
              <w:t xml:space="preserve">K </w:t>
            </w:r>
            <w:r>
              <w:rPr>
                <w:i/>
                <w:iCs/>
              </w:rPr>
              <w:t>“</w:t>
            </w:r>
            <w:r w:rsidRPr="00215BB8">
              <w:rPr>
                <w:i/>
                <w:iCs/>
              </w:rPr>
              <w:t>forward incorporates</w:t>
            </w:r>
            <w:r>
              <w:rPr>
                <w:i/>
                <w:iCs/>
              </w:rPr>
              <w:t>”</w:t>
            </w:r>
            <w:r w:rsidRPr="00215BB8">
              <w:rPr>
                <w:i/>
                <w:iCs/>
              </w:rPr>
              <w:t xml:space="preserve"> the Part III information from the definitive proxy statement, confirm that it was filed within 120 days </w:t>
            </w:r>
            <w:r>
              <w:rPr>
                <w:i/>
                <w:iCs/>
              </w:rPr>
              <w:t xml:space="preserve">after </w:t>
            </w:r>
            <w:r w:rsidRPr="00215BB8">
              <w:rPr>
                <w:i/>
                <w:iCs/>
              </w:rPr>
              <w:t>th</w:t>
            </w:r>
            <w:r w:rsidRPr="00215BB8">
              <w:rPr>
                <w:i/>
                <w:iCs/>
              </w:rPr>
              <w:t xml:space="preserve">e end of the </w:t>
            </w:r>
            <w:r>
              <w:rPr>
                <w:i/>
                <w:iCs/>
              </w:rPr>
              <w:t>c</w:t>
            </w:r>
            <w:r w:rsidRPr="00215BB8">
              <w:rPr>
                <w:i/>
                <w:iCs/>
              </w:rPr>
              <w:t>ompany</w:t>
            </w:r>
            <w:r>
              <w:rPr>
                <w:i/>
                <w:iCs/>
              </w:rPr>
              <w:t>’</w:t>
            </w:r>
            <w:r w:rsidRPr="00215BB8">
              <w:rPr>
                <w:i/>
                <w:iCs/>
              </w:rPr>
              <w:t>s fiscal year (April 30 for year-end companies except in leap years [e.g., 2020</w:t>
            </w:r>
            <w:r>
              <w:rPr>
                <w:i/>
                <w:iCs/>
              </w:rPr>
              <w:t xml:space="preserve"> and 2024</w:t>
            </w:r>
            <w:r w:rsidRPr="00215BB8">
              <w:rPr>
                <w:i/>
                <w:iCs/>
              </w:rPr>
              <w:t>], subject to adjus</w:t>
            </w:r>
            <w:r>
              <w:rPr>
                <w:i/>
                <w:iCs/>
              </w:rPr>
              <w:t>t</w:t>
            </w:r>
            <w:r w:rsidRPr="00215BB8">
              <w:rPr>
                <w:i/>
                <w:iCs/>
              </w:rPr>
              <w:t>ment if the 120</w:t>
            </w:r>
            <w:r w:rsidRPr="00215BB8">
              <w:rPr>
                <w:i/>
                <w:iCs/>
                <w:vertAlign w:val="superscript"/>
              </w:rPr>
              <w:t>th</w:t>
            </w:r>
            <w:r w:rsidRPr="00215BB8">
              <w:rPr>
                <w:i/>
                <w:iCs/>
              </w:rPr>
              <w:t xml:space="preserve"> da</w:t>
            </w:r>
            <w:r>
              <w:rPr>
                <w:i/>
                <w:iCs/>
              </w:rPr>
              <w:t>y</w:t>
            </w:r>
            <w:r w:rsidRPr="00215BB8">
              <w:rPr>
                <w:i/>
                <w:iCs/>
              </w:rPr>
              <w:t xml:space="preserve"> is a Saturday, Sunday or federal holiday)</w:t>
            </w:r>
            <w:r>
              <w:rPr>
                <w:i/>
                <w:iCs/>
              </w:rPr>
              <w:t>.</w:t>
            </w:r>
          </w:p>
          <w:p w14:paraId="34800852" w14:textId="77777777" w:rsidR="00771086" w:rsidRPr="00DB5740" w:rsidRDefault="005B5528" w:rsidP="00771086">
            <w:pPr>
              <w:autoSpaceDE w:val="0"/>
              <w:autoSpaceDN w:val="0"/>
              <w:adjustRightInd w:val="0"/>
              <w:spacing w:after="120"/>
              <w:rPr>
                <w:sz w:val="20"/>
              </w:rPr>
            </w:pPr>
            <w:r w:rsidRPr="00DB5740">
              <w:t>** Form S-3 does not require timely filing of reports solely p</w:t>
            </w:r>
            <w:r>
              <w:t>u</w:t>
            </w:r>
            <w:r w:rsidRPr="00DB5740">
              <w:t>rsuant to Item 1.01,</w:t>
            </w:r>
            <w:r>
              <w:t xml:space="preserve"> </w:t>
            </w:r>
            <w:r w:rsidRPr="00DB5740">
              <w:t>1.02, 1.04, 2.03, 2.04, 2.05, 2.06, 4.02(a) or 5.02(e).  Reports furnished pursuant to Item 2.02 or Item 7.01 do not require timely furnishing, nor does Item 8.01 require timely filing, but the date on which a Form 8-K is filed or fur</w:t>
            </w:r>
            <w:r w:rsidRPr="00DB5740">
              <w:t>nished may affect (A) compliance with the safe harbor under Item 2.02 and (B) compliance with Regulation FD by furnishing an Item 7.01 report or filing an Item 8.01 report.</w:t>
            </w:r>
          </w:p>
        </w:tc>
        <w:tc>
          <w:tcPr>
            <w:tcW w:w="925" w:type="pct"/>
          </w:tcPr>
          <w:p w14:paraId="2ECBF7D9" w14:textId="77777777" w:rsidR="00771086" w:rsidRPr="00DB5740" w:rsidRDefault="00771086" w:rsidP="00771086">
            <w:pPr>
              <w:autoSpaceDE w:val="0"/>
              <w:autoSpaceDN w:val="0"/>
              <w:adjustRightInd w:val="0"/>
              <w:spacing w:after="120"/>
            </w:pPr>
          </w:p>
        </w:tc>
        <w:tc>
          <w:tcPr>
            <w:tcW w:w="585" w:type="pct"/>
            <w:vAlign w:val="center"/>
          </w:tcPr>
          <w:p w14:paraId="61F0134D" w14:textId="77777777" w:rsidR="00771086" w:rsidRPr="00DB5740" w:rsidRDefault="00771086" w:rsidP="00771086">
            <w:pPr>
              <w:rPr>
                <w:b/>
                <w:i/>
                <w:color w:val="FF0000"/>
              </w:rPr>
            </w:pPr>
          </w:p>
        </w:tc>
        <w:tc>
          <w:tcPr>
            <w:tcW w:w="314" w:type="pct"/>
            <w:gridSpan w:val="2"/>
            <w:vAlign w:val="center"/>
          </w:tcPr>
          <w:p w14:paraId="52215826"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643F8836"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60BC402B" w14:textId="77777777" w:rsidTr="00BF4090">
        <w:trPr>
          <w:cantSplit/>
          <w:jc w:val="center"/>
        </w:trPr>
        <w:tc>
          <w:tcPr>
            <w:tcW w:w="685" w:type="pct"/>
          </w:tcPr>
          <w:p w14:paraId="27C5F5C2" w14:textId="77777777" w:rsidR="00771086" w:rsidRPr="00467118" w:rsidRDefault="005B5528" w:rsidP="00771086">
            <w:r w:rsidRPr="00467118">
              <w:lastRenderedPageBreak/>
              <w:t>Indicate by check mark whether the registrant has submitted electron</w:t>
            </w:r>
            <w:r w:rsidRPr="00467118">
              <w:t>ically every Interactive Data File required to be submitted pursuant to Rule 405 of Regulation S-T (§ 232.405 of this chapter) during the preceding 12 months (or for such shorter period that the registrant was required to submit such files).</w:t>
            </w:r>
          </w:p>
        </w:tc>
        <w:tc>
          <w:tcPr>
            <w:tcW w:w="584" w:type="pct"/>
          </w:tcPr>
          <w:p w14:paraId="7071D257" w14:textId="77777777" w:rsidR="00771086" w:rsidRPr="00467118" w:rsidRDefault="005B5528" w:rsidP="00771086">
            <w:r w:rsidRPr="00467118">
              <w:t xml:space="preserve">Form </w:t>
            </w:r>
            <w:r>
              <w:t>10</w:t>
            </w:r>
            <w:r>
              <w:noBreakHyphen/>
              <w:t>K</w:t>
            </w:r>
          </w:p>
          <w:p w14:paraId="599F3CA7" w14:textId="77777777" w:rsidR="00771086" w:rsidRPr="00467118" w:rsidRDefault="005B5528" w:rsidP="00771086">
            <w:r w:rsidRPr="00467118">
              <w:t>Cove</w:t>
            </w:r>
            <w:r w:rsidRPr="00467118">
              <w:t>r Page</w:t>
            </w:r>
          </w:p>
        </w:tc>
        <w:tc>
          <w:tcPr>
            <w:tcW w:w="1907" w:type="pct"/>
          </w:tcPr>
          <w:p w14:paraId="4CE6C5FB" w14:textId="77777777" w:rsidR="00771086" w:rsidRPr="00215BB8" w:rsidRDefault="005B5528" w:rsidP="00771086">
            <w:pPr>
              <w:autoSpaceDE w:val="0"/>
              <w:autoSpaceDN w:val="0"/>
              <w:adjustRightInd w:val="0"/>
              <w:spacing w:after="120"/>
              <w:rPr>
                <w:i/>
                <w:iCs/>
              </w:rPr>
            </w:pPr>
            <w:r w:rsidRPr="00215BB8">
              <w:rPr>
                <w:i/>
                <w:iCs/>
              </w:rPr>
              <w:t>Confirm that the text on the cover page does not refer to posting Interactive Data Files on the company</w:t>
            </w:r>
            <w:r>
              <w:rPr>
                <w:i/>
                <w:iCs/>
              </w:rPr>
              <w:t>’</w:t>
            </w:r>
            <w:r w:rsidRPr="00215BB8">
              <w:rPr>
                <w:i/>
                <w:iCs/>
              </w:rPr>
              <w:t>s website (amended SEC rules no longer require posting interactive data files on the company</w:t>
            </w:r>
            <w:r>
              <w:rPr>
                <w:i/>
                <w:iCs/>
              </w:rPr>
              <w:t>’</w:t>
            </w:r>
            <w:r w:rsidRPr="00215BB8">
              <w:rPr>
                <w:i/>
                <w:iCs/>
              </w:rPr>
              <w:t>s website)</w:t>
            </w:r>
          </w:p>
          <w:p w14:paraId="4C461CED" w14:textId="77777777" w:rsidR="00771086" w:rsidRPr="00467118" w:rsidRDefault="00771086" w:rsidP="00771086">
            <w:pPr>
              <w:autoSpaceDE w:val="0"/>
              <w:autoSpaceDN w:val="0"/>
              <w:adjustRightInd w:val="0"/>
              <w:spacing w:after="120"/>
            </w:pPr>
          </w:p>
          <w:p w14:paraId="38D09BC5" w14:textId="77777777" w:rsidR="00771086" w:rsidRPr="00467118" w:rsidRDefault="00771086" w:rsidP="00771086">
            <w:pPr>
              <w:autoSpaceDE w:val="0"/>
              <w:autoSpaceDN w:val="0"/>
              <w:adjustRightInd w:val="0"/>
              <w:spacing w:after="120"/>
            </w:pPr>
          </w:p>
          <w:p w14:paraId="35F4AF15" w14:textId="77777777" w:rsidR="00771086" w:rsidRPr="00467118" w:rsidRDefault="00771086" w:rsidP="00771086">
            <w:pPr>
              <w:autoSpaceDE w:val="0"/>
              <w:autoSpaceDN w:val="0"/>
              <w:adjustRightInd w:val="0"/>
              <w:spacing w:after="120"/>
            </w:pPr>
          </w:p>
        </w:tc>
        <w:tc>
          <w:tcPr>
            <w:tcW w:w="925" w:type="pct"/>
          </w:tcPr>
          <w:p w14:paraId="06ED7C4B" w14:textId="77777777" w:rsidR="00771086" w:rsidRPr="00467118" w:rsidRDefault="005B5528" w:rsidP="00771086">
            <w:pPr>
              <w:autoSpaceDE w:val="0"/>
              <w:autoSpaceDN w:val="0"/>
              <w:adjustRightInd w:val="0"/>
              <w:spacing w:after="120"/>
            </w:pPr>
            <w:r w:rsidRPr="00467118">
              <w:t xml:space="preserve">All reports for fiscal periods ending </w:t>
            </w:r>
            <w:r w:rsidRPr="00467118">
              <w:t>on or after June 15, 2021 are subject to Interactive XBRL requirements, including cover page tagging.</w:t>
            </w:r>
          </w:p>
          <w:p w14:paraId="5FC5FD8B" w14:textId="77777777" w:rsidR="00771086" w:rsidRPr="00467118" w:rsidRDefault="005B5528" w:rsidP="00771086">
            <w:pPr>
              <w:autoSpaceDE w:val="0"/>
              <w:autoSpaceDN w:val="0"/>
              <w:adjustRightInd w:val="0"/>
              <w:spacing w:after="120"/>
            </w:pPr>
            <w:r w:rsidRPr="00467118">
              <w:t>Cover page tagging:</w:t>
            </w:r>
          </w:p>
          <w:p w14:paraId="499CB575" w14:textId="77777777" w:rsidR="00771086" w:rsidRPr="00467118" w:rsidRDefault="005B5528" w:rsidP="00771086">
            <w:pPr>
              <w:spacing w:after="120"/>
              <w:rPr>
                <w:rStyle w:val="Hyperlink"/>
              </w:rPr>
            </w:pPr>
            <w:hyperlink r:id="rId40" w:history="1">
              <w:r w:rsidRPr="00467118">
                <w:rPr>
                  <w:rStyle w:val="Hyperlink"/>
                </w:rPr>
                <w:t>SEC Release No. 33-10618</w:t>
              </w:r>
            </w:hyperlink>
          </w:p>
          <w:p w14:paraId="1BEA1BED" w14:textId="77777777" w:rsidR="00771086" w:rsidRPr="00467118" w:rsidRDefault="005B5528" w:rsidP="00771086">
            <w:pPr>
              <w:spacing w:after="120"/>
              <w:rPr>
                <w:rStyle w:val="Hyperlink"/>
              </w:rPr>
            </w:pPr>
            <w:hyperlink r:id="rId41" w:history="1">
              <w:r w:rsidRPr="00467118">
                <w:rPr>
                  <w:rStyle w:val="Hyperlink"/>
                </w:rPr>
                <w:t>Disclosure Simplification, Round Two: A Deep Dive Into The SEC</w:t>
              </w:r>
              <w:r>
                <w:rPr>
                  <w:rStyle w:val="Hyperlink"/>
                </w:rPr>
                <w:t>’</w:t>
              </w:r>
              <w:r w:rsidRPr="00467118">
                <w:rPr>
                  <w:rStyle w:val="Hyperlink"/>
                </w:rPr>
                <w:t>s New Amendments</w:t>
              </w:r>
            </w:hyperlink>
          </w:p>
          <w:p w14:paraId="7F3E2571" w14:textId="77777777" w:rsidR="00771086" w:rsidRPr="00467118" w:rsidRDefault="005B5528" w:rsidP="00771086">
            <w:pPr>
              <w:spacing w:after="120"/>
            </w:pPr>
            <w:r w:rsidRPr="00467118">
              <w:t>Inline XBRL:</w:t>
            </w:r>
          </w:p>
          <w:p w14:paraId="0E2F51CC" w14:textId="77777777" w:rsidR="00771086" w:rsidRPr="00467118" w:rsidRDefault="005B5528" w:rsidP="00771086">
            <w:pPr>
              <w:spacing w:after="120"/>
              <w:rPr>
                <w:rStyle w:val="Hyperlink"/>
              </w:rPr>
            </w:pPr>
            <w:hyperlink r:id="rId42" w:history="1">
              <w:r w:rsidRPr="00467118">
                <w:rPr>
                  <w:rStyle w:val="Hyperlink"/>
                </w:rPr>
                <w:t>SEC Release No. 33-10514</w:t>
              </w:r>
            </w:hyperlink>
          </w:p>
          <w:p w14:paraId="4861A865" w14:textId="77777777" w:rsidR="00771086" w:rsidRPr="00467118" w:rsidRDefault="005B5528" w:rsidP="00771086">
            <w:pPr>
              <w:spacing w:after="120"/>
            </w:pPr>
            <w:hyperlink r:id="rId43" w:history="1">
              <w:r w:rsidRPr="00467118">
                <w:rPr>
                  <w:rStyle w:val="Hyperlink"/>
                </w:rPr>
                <w:t>SEC Adopts Mandatory Inline XBRL</w:t>
              </w:r>
            </w:hyperlink>
          </w:p>
          <w:p w14:paraId="658607C0" w14:textId="77777777" w:rsidR="00771086" w:rsidRPr="00467118" w:rsidRDefault="005B5528" w:rsidP="00771086">
            <w:pPr>
              <w:spacing w:after="120"/>
            </w:pPr>
            <w:r w:rsidRPr="00467118">
              <w:t>Inline XBRL Staff C&amp;DIs:</w:t>
            </w:r>
          </w:p>
          <w:p w14:paraId="61E44184" w14:textId="77777777" w:rsidR="00771086" w:rsidRPr="00467118" w:rsidRDefault="005B5528" w:rsidP="00771086">
            <w:pPr>
              <w:spacing w:after="120"/>
              <w:rPr>
                <w:rStyle w:val="Hyperlink"/>
              </w:rPr>
            </w:pPr>
            <w:hyperlink r:id="rId44" w:history="1">
              <w:r w:rsidRPr="00467118">
                <w:rPr>
                  <w:rStyle w:val="Hyperlink"/>
                </w:rPr>
                <w:t>SEC Staff C&amp;DIs</w:t>
              </w:r>
            </w:hyperlink>
          </w:p>
          <w:p w14:paraId="0CB24CF5" w14:textId="77777777" w:rsidR="00771086" w:rsidRPr="00467118" w:rsidRDefault="005B5528" w:rsidP="00771086">
            <w:pPr>
              <w:autoSpaceDE w:val="0"/>
              <w:autoSpaceDN w:val="0"/>
              <w:adjustRightInd w:val="0"/>
              <w:spacing w:after="120"/>
            </w:pPr>
            <w:hyperlink r:id="rId45" w:history="1">
              <w:r w:rsidRPr="00467118">
                <w:rPr>
                  <w:rStyle w:val="Hyperlink"/>
                </w:rPr>
                <w:t>Inline XBRL Interpretations Issued by SEC Staff</w:t>
              </w:r>
            </w:hyperlink>
          </w:p>
        </w:tc>
        <w:tc>
          <w:tcPr>
            <w:tcW w:w="585" w:type="pct"/>
            <w:vAlign w:val="center"/>
          </w:tcPr>
          <w:p w14:paraId="2F3F0AFA" w14:textId="77777777" w:rsidR="00771086" w:rsidRPr="00467118" w:rsidRDefault="00771086" w:rsidP="00771086">
            <w:pPr>
              <w:rPr>
                <w:b/>
                <w:i/>
                <w:color w:val="FF0000"/>
              </w:rPr>
            </w:pPr>
          </w:p>
        </w:tc>
        <w:tc>
          <w:tcPr>
            <w:tcW w:w="314" w:type="pct"/>
            <w:gridSpan w:val="2"/>
            <w:vAlign w:val="center"/>
          </w:tcPr>
          <w:p w14:paraId="2094E699" w14:textId="77777777" w:rsidR="00771086" w:rsidRPr="00467118" w:rsidRDefault="005B5528" w:rsidP="00771086">
            <w:pPr>
              <w:jc w:val="center"/>
            </w:pPr>
            <w:r w:rsidRPr="00467118">
              <w:t xml:space="preserve">Yes </w:t>
            </w:r>
            <w:r w:rsidRPr="00467118">
              <w:rPr>
                <w:rFonts w:ascii="Segoe UI Symbol" w:eastAsia="MS Gothic" w:hAnsi="Segoe UI Symbol" w:cs="Segoe UI Symbol"/>
              </w:rPr>
              <w:t>☐</w:t>
            </w:r>
          </w:p>
          <w:p w14:paraId="0B5F43E4" w14:textId="77777777" w:rsidR="00771086" w:rsidRPr="00467118" w:rsidRDefault="005B5528" w:rsidP="00771086">
            <w:pPr>
              <w:jc w:val="center"/>
            </w:pPr>
            <w:r w:rsidRPr="00467118">
              <w:t xml:space="preserve">No  </w:t>
            </w:r>
            <w:r w:rsidRPr="00467118">
              <w:rPr>
                <w:rFonts w:ascii="Segoe UI Symbol" w:eastAsia="MS Gothic" w:hAnsi="Segoe UI Symbol" w:cs="Segoe UI Symbol"/>
              </w:rPr>
              <w:t>☐</w:t>
            </w:r>
          </w:p>
        </w:tc>
      </w:tr>
      <w:tr w:rsidR="00000000" w14:paraId="6B828D41" w14:textId="77777777" w:rsidTr="00BF4090">
        <w:trPr>
          <w:cantSplit/>
          <w:jc w:val="center"/>
        </w:trPr>
        <w:tc>
          <w:tcPr>
            <w:tcW w:w="685" w:type="pct"/>
          </w:tcPr>
          <w:p w14:paraId="30F69042" w14:textId="77777777" w:rsidR="00771086" w:rsidRPr="00DB5740" w:rsidRDefault="005B5528" w:rsidP="00771086">
            <w:pPr>
              <w:rPr>
                <w:sz w:val="21"/>
                <w:szCs w:val="21"/>
              </w:rPr>
            </w:pPr>
            <w:r w:rsidRPr="00DB5740">
              <w:rPr>
                <w:sz w:val="21"/>
                <w:szCs w:val="21"/>
              </w:rPr>
              <w:lastRenderedPageBreak/>
              <w:t>Indicate by check mark whether the registrant is a large accelerated filer, an accelerated filer, a</w:t>
            </w:r>
            <w:r w:rsidRPr="00DB5740">
              <w:rPr>
                <w:sz w:val="21"/>
                <w:szCs w:val="21"/>
              </w:rPr>
              <w:t xml:space="preserve"> non-accelerated filer, a smaller reporting company, or an emerging growth company.  See the definitions of </w:t>
            </w:r>
            <w:r>
              <w:rPr>
                <w:sz w:val="21"/>
                <w:szCs w:val="21"/>
              </w:rPr>
              <w:t>“</w:t>
            </w:r>
            <w:r w:rsidRPr="00DB5740">
              <w:rPr>
                <w:sz w:val="21"/>
                <w:szCs w:val="21"/>
              </w:rPr>
              <w:t>large accelerated filer,</w:t>
            </w:r>
            <w:r>
              <w:rPr>
                <w:sz w:val="21"/>
                <w:szCs w:val="21"/>
              </w:rPr>
              <w:t>”</w:t>
            </w:r>
            <w:r w:rsidRPr="00DB5740">
              <w:rPr>
                <w:sz w:val="21"/>
                <w:szCs w:val="21"/>
              </w:rPr>
              <w:t xml:space="preserve"> </w:t>
            </w:r>
            <w:r>
              <w:rPr>
                <w:sz w:val="21"/>
                <w:szCs w:val="21"/>
              </w:rPr>
              <w:t>“</w:t>
            </w:r>
            <w:r w:rsidRPr="00DB5740">
              <w:rPr>
                <w:sz w:val="21"/>
                <w:szCs w:val="21"/>
              </w:rPr>
              <w:t>accelerated filer,</w:t>
            </w:r>
            <w:r>
              <w:rPr>
                <w:sz w:val="21"/>
                <w:szCs w:val="21"/>
              </w:rPr>
              <w:t>”</w:t>
            </w:r>
            <w:r w:rsidRPr="00DB5740">
              <w:rPr>
                <w:sz w:val="21"/>
                <w:szCs w:val="21"/>
              </w:rPr>
              <w:t xml:space="preserve"> </w:t>
            </w:r>
            <w:r>
              <w:rPr>
                <w:sz w:val="21"/>
                <w:szCs w:val="21"/>
              </w:rPr>
              <w:t>“</w:t>
            </w:r>
            <w:r w:rsidRPr="00DB5740">
              <w:rPr>
                <w:sz w:val="21"/>
                <w:szCs w:val="21"/>
              </w:rPr>
              <w:t>smaller reporting company,</w:t>
            </w:r>
            <w:r>
              <w:rPr>
                <w:sz w:val="21"/>
                <w:szCs w:val="21"/>
              </w:rPr>
              <w:t>”</w:t>
            </w:r>
            <w:r w:rsidRPr="00DB5740">
              <w:rPr>
                <w:sz w:val="21"/>
                <w:szCs w:val="21"/>
              </w:rPr>
              <w:t xml:space="preserve"> and </w:t>
            </w:r>
            <w:r>
              <w:rPr>
                <w:sz w:val="21"/>
                <w:szCs w:val="21"/>
              </w:rPr>
              <w:t>“</w:t>
            </w:r>
            <w:r w:rsidRPr="00DB5740">
              <w:rPr>
                <w:sz w:val="21"/>
                <w:szCs w:val="21"/>
              </w:rPr>
              <w:t>emerging growth company</w:t>
            </w:r>
            <w:r>
              <w:rPr>
                <w:sz w:val="21"/>
                <w:szCs w:val="21"/>
              </w:rPr>
              <w:t>”</w:t>
            </w:r>
            <w:r w:rsidRPr="00DB5740">
              <w:rPr>
                <w:sz w:val="21"/>
                <w:szCs w:val="21"/>
              </w:rPr>
              <w:t xml:space="preserve"> in Rule 12b-2 of the Exchange Ac</w:t>
            </w:r>
            <w:r>
              <w:rPr>
                <w:sz w:val="21"/>
                <w:szCs w:val="21"/>
              </w:rPr>
              <w:t>t</w:t>
            </w:r>
            <w:r w:rsidRPr="00DB5740">
              <w:rPr>
                <w:sz w:val="21"/>
                <w:szCs w:val="21"/>
              </w:rPr>
              <w:t>.</w:t>
            </w:r>
          </w:p>
        </w:tc>
        <w:tc>
          <w:tcPr>
            <w:tcW w:w="584" w:type="pct"/>
          </w:tcPr>
          <w:p w14:paraId="7E08F742" w14:textId="77777777" w:rsidR="00771086" w:rsidRPr="00DB5740" w:rsidRDefault="005B5528" w:rsidP="00771086">
            <w:r w:rsidRPr="00DB5740">
              <w:t xml:space="preserve">Form </w:t>
            </w:r>
            <w:r>
              <w:t>1</w:t>
            </w:r>
            <w:r>
              <w:t>0</w:t>
            </w:r>
            <w:r>
              <w:noBreakHyphen/>
              <w:t>K</w:t>
            </w:r>
          </w:p>
          <w:p w14:paraId="3902A387" w14:textId="77777777" w:rsidR="00771086" w:rsidRPr="00DB5740" w:rsidRDefault="005B5528" w:rsidP="00771086">
            <w:r w:rsidRPr="00DB5740">
              <w:t>Cover Page</w:t>
            </w:r>
          </w:p>
        </w:tc>
        <w:tc>
          <w:tcPr>
            <w:tcW w:w="1907" w:type="pct"/>
          </w:tcPr>
          <w:p w14:paraId="354831F5" w14:textId="77777777" w:rsidR="00771086" w:rsidRPr="005A00FF" w:rsidRDefault="005B5528" w:rsidP="00771086">
            <w:pPr>
              <w:autoSpaceDE w:val="0"/>
              <w:autoSpaceDN w:val="0"/>
              <w:adjustRightInd w:val="0"/>
              <w:spacing w:after="120"/>
            </w:pPr>
            <w:r>
              <w:t>Determine</w:t>
            </w:r>
            <w:r w:rsidRPr="00DB5740">
              <w:t xml:space="preserve"> whether the </w:t>
            </w:r>
            <w:r>
              <w:t>com</w:t>
            </w:r>
            <w:r w:rsidRPr="00DB5740">
              <w:t>pany is a large accelerate</w:t>
            </w:r>
            <w:r>
              <w:t>d</w:t>
            </w:r>
            <w:r w:rsidRPr="00DB5740">
              <w:t xml:space="preserve"> file</w:t>
            </w:r>
            <w:r>
              <w:t>r</w:t>
            </w:r>
            <w:r w:rsidRPr="00DB5740">
              <w:t>, accelerated filer, sm</w:t>
            </w:r>
            <w:r>
              <w:t>a</w:t>
            </w:r>
            <w:r w:rsidRPr="00DB5740">
              <w:t xml:space="preserve">ller reporting company or </w:t>
            </w:r>
            <w:r w:rsidRPr="005A00FF">
              <w:t>emerging growth company as defined</w:t>
            </w:r>
            <w:r>
              <w:t xml:space="preserve"> </w:t>
            </w:r>
            <w:r w:rsidRPr="005A00FF">
              <w:t>i</w:t>
            </w:r>
            <w:r>
              <w:t>n</w:t>
            </w:r>
            <w:r w:rsidRPr="005A00FF">
              <w:t xml:space="preserve"> Rule 12b-2 and c</w:t>
            </w:r>
            <w:r>
              <w:t>hec</w:t>
            </w:r>
            <w:r w:rsidRPr="005A00FF">
              <w:t xml:space="preserve">k the appropriate box.  </w:t>
            </w:r>
            <w:r>
              <w:t>If the company is not a large accelerated filer or a</w:t>
            </w:r>
            <w:r>
              <w:t>ccelerated filer, check the box to indicate non-accelerated filer.</w:t>
            </w:r>
          </w:p>
          <w:p w14:paraId="2DB15B86" w14:textId="77777777" w:rsidR="00771086" w:rsidRDefault="005B5528" w:rsidP="00771086">
            <w:pPr>
              <w:autoSpaceDE w:val="0"/>
              <w:autoSpaceDN w:val="0"/>
              <w:adjustRightInd w:val="0"/>
              <w:spacing w:after="120"/>
              <w:rPr>
                <w:i/>
                <w:iCs/>
              </w:rPr>
            </w:pPr>
            <w:r w:rsidRPr="005A00FF">
              <w:t>For summaries of the defi</w:t>
            </w:r>
            <w:r>
              <w:t>n</w:t>
            </w:r>
            <w:r w:rsidRPr="005A00FF">
              <w:t xml:space="preserve">itions of </w:t>
            </w:r>
            <w:r>
              <w:t>“</w:t>
            </w:r>
            <w:r w:rsidRPr="005A00FF">
              <w:t xml:space="preserve">large accelerated </w:t>
            </w:r>
            <w:r w:rsidRPr="00DB5740">
              <w:t>filer,</w:t>
            </w:r>
            <w:r>
              <w:t>”</w:t>
            </w:r>
            <w:r w:rsidRPr="00DB5740">
              <w:t xml:space="preserve"> </w:t>
            </w:r>
            <w:r>
              <w:t>“</w:t>
            </w:r>
            <w:r w:rsidRPr="00DB5740">
              <w:t>accel</w:t>
            </w:r>
            <w:r>
              <w:t>e</w:t>
            </w:r>
            <w:r w:rsidRPr="00DB5740">
              <w:t>rated filer</w:t>
            </w:r>
            <w:r>
              <w:t>”</w:t>
            </w:r>
            <w:r w:rsidRPr="00DB5740">
              <w:t xml:space="preserve"> and </w:t>
            </w:r>
            <w:r>
              <w:t>“</w:t>
            </w:r>
            <w:r w:rsidRPr="00DB5740">
              <w:t>smaller rep</w:t>
            </w:r>
            <w:r>
              <w:t>o</w:t>
            </w:r>
            <w:r w:rsidRPr="00DB5740">
              <w:t>rting company,</w:t>
            </w:r>
            <w:r>
              <w:t>”</w:t>
            </w:r>
            <w:r w:rsidRPr="00DB5740">
              <w:t xml:space="preserve"> see t</w:t>
            </w:r>
            <w:r>
              <w:t>h</w:t>
            </w:r>
            <w:r w:rsidRPr="00DB5740">
              <w:t>e following row.</w:t>
            </w:r>
            <w:r w:rsidRPr="00215BB8">
              <w:rPr>
                <w:i/>
                <w:iCs/>
              </w:rPr>
              <w:t xml:space="preserve"> </w:t>
            </w:r>
          </w:p>
          <w:p w14:paraId="0810DD27" w14:textId="77777777" w:rsidR="00771086" w:rsidRPr="00215BB8" w:rsidRDefault="005B5528" w:rsidP="00771086">
            <w:pPr>
              <w:autoSpaceDE w:val="0"/>
              <w:autoSpaceDN w:val="0"/>
              <w:adjustRightInd w:val="0"/>
              <w:spacing w:after="120"/>
              <w:rPr>
                <w:i/>
                <w:iCs/>
              </w:rPr>
            </w:pPr>
            <w:r w:rsidRPr="00215BB8">
              <w:rPr>
                <w:i/>
                <w:iCs/>
              </w:rPr>
              <w:t>Confirm that the previ</w:t>
            </w:r>
            <w:r>
              <w:rPr>
                <w:i/>
                <w:iCs/>
              </w:rPr>
              <w:t>o</w:t>
            </w:r>
            <w:r w:rsidRPr="00215BB8">
              <w:rPr>
                <w:i/>
                <w:iCs/>
              </w:rPr>
              <w:t>usly-</w:t>
            </w:r>
            <w:r>
              <w:rPr>
                <w:i/>
                <w:iCs/>
              </w:rPr>
              <w:t>r</w:t>
            </w:r>
            <w:r w:rsidRPr="00215BB8">
              <w:rPr>
                <w:i/>
                <w:iCs/>
              </w:rPr>
              <w:t xml:space="preserve">equired text </w:t>
            </w:r>
            <w:r>
              <w:rPr>
                <w:i/>
                <w:iCs/>
              </w:rPr>
              <w:t>“</w:t>
            </w:r>
            <w:r w:rsidRPr="00215BB8">
              <w:rPr>
                <w:i/>
                <w:iCs/>
              </w:rPr>
              <w:t>Do not</w:t>
            </w:r>
            <w:r w:rsidRPr="00215BB8">
              <w:rPr>
                <w:i/>
                <w:iCs/>
              </w:rPr>
              <w:t xml:space="preserve"> ch</w:t>
            </w:r>
            <w:r>
              <w:rPr>
                <w:i/>
                <w:iCs/>
              </w:rPr>
              <w:t>e</w:t>
            </w:r>
            <w:r w:rsidRPr="00215BB8">
              <w:rPr>
                <w:i/>
                <w:iCs/>
              </w:rPr>
              <w:t>ck if a smaller reporting company</w:t>
            </w:r>
            <w:r>
              <w:rPr>
                <w:i/>
                <w:iCs/>
              </w:rPr>
              <w:t>”</w:t>
            </w:r>
            <w:r w:rsidRPr="00215BB8">
              <w:rPr>
                <w:i/>
                <w:iCs/>
              </w:rPr>
              <w:t xml:space="preserve"> does not appear after the ch</w:t>
            </w:r>
            <w:r>
              <w:rPr>
                <w:i/>
                <w:iCs/>
              </w:rPr>
              <w:t>e</w:t>
            </w:r>
            <w:r w:rsidRPr="00215BB8">
              <w:rPr>
                <w:i/>
                <w:iCs/>
              </w:rPr>
              <w:t>ck box for non-accele</w:t>
            </w:r>
            <w:r>
              <w:rPr>
                <w:i/>
                <w:iCs/>
              </w:rPr>
              <w:t>r</w:t>
            </w:r>
            <w:r w:rsidRPr="00215BB8">
              <w:rPr>
                <w:i/>
                <w:iCs/>
              </w:rPr>
              <w:t>ated filer status</w:t>
            </w:r>
          </w:p>
          <w:p w14:paraId="0A00E0DC" w14:textId="77777777" w:rsidR="00771086" w:rsidRPr="00DB5740" w:rsidRDefault="00771086" w:rsidP="00771086">
            <w:pPr>
              <w:autoSpaceDE w:val="0"/>
              <w:autoSpaceDN w:val="0"/>
              <w:adjustRightInd w:val="0"/>
              <w:spacing w:after="120"/>
            </w:pPr>
          </w:p>
        </w:tc>
        <w:tc>
          <w:tcPr>
            <w:tcW w:w="925" w:type="pct"/>
          </w:tcPr>
          <w:p w14:paraId="5EBF1A88" w14:textId="77777777" w:rsidR="00771086" w:rsidRPr="00DB5740" w:rsidRDefault="005B5528" w:rsidP="00771086">
            <w:pPr>
              <w:autoSpaceDE w:val="0"/>
              <w:autoSpaceDN w:val="0"/>
              <w:adjustRightInd w:val="0"/>
              <w:spacing w:after="120"/>
            </w:pPr>
            <w:r w:rsidRPr="00DB5740">
              <w:t>Check all boxes that apply</w:t>
            </w:r>
            <w:r>
              <w:t>.  F</w:t>
            </w:r>
            <w:r w:rsidRPr="00DB5740">
              <w:t>or examp</w:t>
            </w:r>
            <w:r>
              <w:t>l</w:t>
            </w:r>
            <w:r w:rsidRPr="00DB5740">
              <w:t xml:space="preserve">e, if the company is a </w:t>
            </w:r>
            <w:r>
              <w:t>smaller reporting company and an accelerated</w:t>
            </w:r>
            <w:r w:rsidRPr="00DB5740">
              <w:t xml:space="preserve"> filer, ch</w:t>
            </w:r>
            <w:r>
              <w:t>e</w:t>
            </w:r>
            <w:r w:rsidRPr="00DB5740">
              <w:t>ck bot</w:t>
            </w:r>
            <w:r>
              <w:t>h</w:t>
            </w:r>
            <w:r w:rsidRPr="00DB5740">
              <w:t xml:space="preserve"> boxes.  For additional</w:t>
            </w:r>
            <w:r w:rsidRPr="00DB5740">
              <w:t xml:space="preserve"> information:</w:t>
            </w:r>
          </w:p>
          <w:p w14:paraId="6469BF9A" w14:textId="77777777" w:rsidR="00771086" w:rsidRPr="00DB5740" w:rsidRDefault="005B5528" w:rsidP="00771086">
            <w:pPr>
              <w:autoSpaceDE w:val="0"/>
              <w:autoSpaceDN w:val="0"/>
              <w:adjustRightInd w:val="0"/>
              <w:spacing w:after="120"/>
            </w:pPr>
            <w:hyperlink r:id="rId46" w:history="1">
              <w:r w:rsidRPr="00DB5740">
                <w:rPr>
                  <w:rStyle w:val="Hyperlink"/>
                </w:rPr>
                <w:t>SEC Amen</w:t>
              </w:r>
              <w:r>
                <w:rPr>
                  <w:rStyle w:val="Hyperlink"/>
                </w:rPr>
                <w:t>d</w:t>
              </w:r>
              <w:r w:rsidRPr="00DB5740">
                <w:rPr>
                  <w:rStyle w:val="Hyperlink"/>
                </w:rPr>
                <w:t>ments Exem</w:t>
              </w:r>
              <w:r>
                <w:rPr>
                  <w:rStyle w:val="Hyperlink"/>
                </w:rPr>
                <w:t>p</w:t>
              </w:r>
              <w:r w:rsidRPr="00DB5740">
                <w:rPr>
                  <w:rStyle w:val="Hyperlink"/>
                </w:rPr>
                <w:t>t More Smaller Reportin</w:t>
              </w:r>
              <w:r>
                <w:rPr>
                  <w:rStyle w:val="Hyperlink"/>
                </w:rPr>
                <w:t>g Co</w:t>
              </w:r>
              <w:r w:rsidRPr="00DB5740">
                <w:rPr>
                  <w:rStyle w:val="Hyperlink"/>
                </w:rPr>
                <w:t>mpani</w:t>
              </w:r>
              <w:r>
                <w:rPr>
                  <w:rStyle w:val="Hyperlink"/>
                </w:rPr>
                <w:t>e</w:t>
              </w:r>
              <w:r w:rsidRPr="00DB5740">
                <w:rPr>
                  <w:rStyle w:val="Hyperlink"/>
                </w:rPr>
                <w:t>s</w:t>
              </w:r>
              <w:bookmarkStart w:id="17" w:name="_Hlt93998698"/>
              <w:bookmarkStart w:id="18" w:name="_Hlt93998699"/>
              <w:r w:rsidRPr="00DB5740">
                <w:rPr>
                  <w:rStyle w:val="Hyperlink"/>
                </w:rPr>
                <w:t xml:space="preserve"> </w:t>
              </w:r>
              <w:bookmarkEnd w:id="17"/>
              <w:bookmarkEnd w:id="18"/>
              <w:r w:rsidRPr="00DB5740">
                <w:rPr>
                  <w:rStyle w:val="Hyperlink"/>
                </w:rPr>
                <w:t xml:space="preserve">from SOX </w:t>
              </w:r>
              <w:r>
                <w:rPr>
                  <w:rStyle w:val="Hyperlink"/>
                </w:rPr>
                <w:t>4</w:t>
              </w:r>
              <w:r w:rsidRPr="00DB5740">
                <w:rPr>
                  <w:rStyle w:val="Hyperlink"/>
                </w:rPr>
                <w:t>04(b)</w:t>
              </w:r>
              <w:r>
                <w:rPr>
                  <w:rStyle w:val="Hyperlink"/>
                </w:rPr>
                <w:t xml:space="preserve"> </w:t>
              </w:r>
              <w:r w:rsidRPr="00DB5740">
                <w:rPr>
                  <w:rStyle w:val="Hyperlink"/>
                </w:rPr>
                <w:t>and Accelerated Filing De</w:t>
              </w:r>
              <w:r>
                <w:rPr>
                  <w:rStyle w:val="Hyperlink"/>
                </w:rPr>
                <w:t>a</w:t>
              </w:r>
              <w:r w:rsidRPr="00DB5740">
                <w:rPr>
                  <w:rStyle w:val="Hyperlink"/>
                </w:rPr>
                <w:t>dlines</w:t>
              </w:r>
            </w:hyperlink>
            <w:r>
              <w:t xml:space="preserve"> </w:t>
            </w:r>
            <w:r w:rsidRPr="00DB5740">
              <w:t>(Goodwin alert)</w:t>
            </w:r>
          </w:p>
          <w:p w14:paraId="47E85BE0" w14:textId="77777777" w:rsidR="00771086" w:rsidRDefault="005B5528" w:rsidP="00771086">
            <w:pPr>
              <w:autoSpaceDE w:val="0"/>
              <w:autoSpaceDN w:val="0"/>
              <w:adjustRightInd w:val="0"/>
              <w:spacing w:after="120"/>
            </w:pPr>
            <w:hyperlink r:id="rId47" w:history="1">
              <w:r w:rsidRPr="00DB5740">
                <w:rPr>
                  <w:rStyle w:val="Hyperlink"/>
                </w:rPr>
                <w:t>SEC Expands Smaller Reportin</w:t>
              </w:r>
              <w:bookmarkStart w:id="19" w:name="_Hlt93998714"/>
              <w:r w:rsidRPr="00DB5740">
                <w:rPr>
                  <w:rStyle w:val="Hyperlink"/>
                </w:rPr>
                <w:t>g</w:t>
              </w:r>
              <w:bookmarkEnd w:id="19"/>
              <w:r w:rsidRPr="00DB5740">
                <w:rPr>
                  <w:rStyle w:val="Hyperlink"/>
                </w:rPr>
                <w:t xml:space="preserve"> Company El</w:t>
              </w:r>
              <w:r>
                <w:rPr>
                  <w:rStyle w:val="Hyperlink"/>
                </w:rPr>
                <w:t>i</w:t>
              </w:r>
              <w:r w:rsidRPr="00DB5740">
                <w:rPr>
                  <w:rStyle w:val="Hyperlink"/>
                </w:rPr>
                <w:t>gibility</w:t>
              </w:r>
            </w:hyperlink>
            <w:r w:rsidRPr="00DB5740">
              <w:t xml:space="preserve"> (Goodwin alert</w:t>
            </w:r>
            <w:r>
              <w:t>)</w:t>
            </w:r>
          </w:p>
          <w:p w14:paraId="38196D8D" w14:textId="77777777" w:rsidR="00771086" w:rsidRPr="00DB5740" w:rsidRDefault="005B5528" w:rsidP="00771086">
            <w:pPr>
              <w:autoSpaceDE w:val="0"/>
              <w:autoSpaceDN w:val="0"/>
              <w:adjustRightInd w:val="0"/>
              <w:spacing w:after="120"/>
            </w:pPr>
            <w:hyperlink r:id="rId48" w:history="1">
              <w:r w:rsidRPr="00DB5740">
                <w:rPr>
                  <w:rStyle w:val="Hyperlink"/>
                </w:rPr>
                <w:t>A</w:t>
              </w:r>
              <w:r>
                <w:rPr>
                  <w:rStyle w:val="Hyperlink"/>
                </w:rPr>
                <w:t>c</w:t>
              </w:r>
              <w:r w:rsidRPr="00DB5740">
                <w:rPr>
                  <w:rStyle w:val="Hyperlink"/>
                </w:rPr>
                <w:t>celerated File</w:t>
              </w:r>
              <w:bookmarkStart w:id="20" w:name="_Hlt93998721"/>
              <w:bookmarkStart w:id="21" w:name="_Hlt93998722"/>
              <w:r w:rsidRPr="00DB5740">
                <w:rPr>
                  <w:rStyle w:val="Hyperlink"/>
                </w:rPr>
                <w:t>r</w:t>
              </w:r>
              <w:bookmarkEnd w:id="20"/>
              <w:bookmarkEnd w:id="21"/>
              <w:r w:rsidRPr="00DB5740">
                <w:rPr>
                  <w:rStyle w:val="Hyperlink"/>
                </w:rPr>
                <w:t xml:space="preserve"> a</w:t>
              </w:r>
              <w:r>
                <w:rPr>
                  <w:rStyle w:val="Hyperlink"/>
                </w:rPr>
                <w:t>n</w:t>
              </w:r>
              <w:r w:rsidRPr="00DB5740">
                <w:rPr>
                  <w:rStyle w:val="Hyperlink"/>
                </w:rPr>
                <w:t>d Lar</w:t>
              </w:r>
              <w:r>
                <w:rPr>
                  <w:rStyle w:val="Hyperlink"/>
                </w:rPr>
                <w:t>g</w:t>
              </w:r>
              <w:r w:rsidRPr="00DB5740">
                <w:rPr>
                  <w:rStyle w:val="Hyperlink"/>
                </w:rPr>
                <w:t>e Accelerated Filer Defini</w:t>
              </w:r>
              <w:r>
                <w:rPr>
                  <w:rStyle w:val="Hyperlink"/>
                </w:rPr>
                <w:t>t</w:t>
              </w:r>
              <w:r w:rsidRPr="00DB5740">
                <w:rPr>
                  <w:rStyle w:val="Hyperlink"/>
                </w:rPr>
                <w:t>ions</w:t>
              </w:r>
            </w:hyperlink>
            <w:r w:rsidRPr="00DB5740">
              <w:t xml:space="preserve"> (SEC Small Entity Compliance Guide)</w:t>
            </w:r>
          </w:p>
          <w:p w14:paraId="428C9782" w14:textId="77777777" w:rsidR="00771086" w:rsidRPr="00DB5740" w:rsidRDefault="005B5528" w:rsidP="00771086">
            <w:pPr>
              <w:autoSpaceDE w:val="0"/>
              <w:autoSpaceDN w:val="0"/>
              <w:adjustRightInd w:val="0"/>
              <w:spacing w:after="120"/>
            </w:pPr>
            <w:hyperlink r:id="rId49" w:history="1">
              <w:r w:rsidRPr="00DB5740">
                <w:rPr>
                  <w:rStyle w:val="Hyperlink"/>
                </w:rPr>
                <w:t>Smaller</w:t>
              </w:r>
              <w:bookmarkStart w:id="22" w:name="_Hlt93998727"/>
              <w:bookmarkStart w:id="23" w:name="_Hlt93998728"/>
              <w:r w:rsidRPr="00DB5740">
                <w:rPr>
                  <w:rStyle w:val="Hyperlink"/>
                </w:rPr>
                <w:t xml:space="preserve"> </w:t>
              </w:r>
              <w:bookmarkEnd w:id="22"/>
              <w:bookmarkEnd w:id="23"/>
              <w:r w:rsidRPr="00DB5740">
                <w:rPr>
                  <w:rStyle w:val="Hyperlink"/>
                </w:rPr>
                <w:t>Reporting Company Definition</w:t>
              </w:r>
            </w:hyperlink>
            <w:r w:rsidRPr="00DB5740">
              <w:t xml:space="preserve"> (Release No. 34-83550)</w:t>
            </w:r>
          </w:p>
          <w:p w14:paraId="269D358A" w14:textId="77777777" w:rsidR="00771086" w:rsidRPr="00DB5740" w:rsidRDefault="005B5528" w:rsidP="00771086">
            <w:pPr>
              <w:autoSpaceDE w:val="0"/>
              <w:autoSpaceDN w:val="0"/>
              <w:adjustRightInd w:val="0"/>
              <w:spacing w:after="120"/>
            </w:pPr>
            <w:hyperlink r:id="rId50" w:history="1">
              <w:r w:rsidRPr="00DB5740">
                <w:rPr>
                  <w:rStyle w:val="Hyperlink"/>
                </w:rPr>
                <w:t>Accelerated Filer and Large Accele</w:t>
              </w:r>
              <w:bookmarkStart w:id="24" w:name="_Hlt93998803"/>
              <w:r w:rsidRPr="00DB5740">
                <w:rPr>
                  <w:rStyle w:val="Hyperlink"/>
                </w:rPr>
                <w:t>r</w:t>
              </w:r>
              <w:bookmarkEnd w:id="24"/>
              <w:r w:rsidRPr="00DB5740">
                <w:rPr>
                  <w:rStyle w:val="Hyperlink"/>
                </w:rPr>
                <w:t>ated Filer Definitions</w:t>
              </w:r>
            </w:hyperlink>
            <w:r w:rsidRPr="00DB5740">
              <w:t xml:space="preserve"> (Release No. 34-88365)</w:t>
            </w:r>
          </w:p>
        </w:tc>
        <w:tc>
          <w:tcPr>
            <w:tcW w:w="585" w:type="pct"/>
            <w:vAlign w:val="center"/>
          </w:tcPr>
          <w:p w14:paraId="781BA467" w14:textId="77777777" w:rsidR="00771086" w:rsidRPr="00DB5740" w:rsidRDefault="00771086" w:rsidP="00771086">
            <w:pPr>
              <w:rPr>
                <w:b/>
                <w:i/>
                <w:color w:val="FF0000"/>
              </w:rPr>
            </w:pPr>
          </w:p>
        </w:tc>
        <w:tc>
          <w:tcPr>
            <w:tcW w:w="314" w:type="pct"/>
            <w:gridSpan w:val="2"/>
            <w:vAlign w:val="center"/>
          </w:tcPr>
          <w:p w14:paraId="577F093D"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3F9252E2"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7F8D0F9C" w14:textId="77777777" w:rsidTr="00BF4090">
        <w:trPr>
          <w:cantSplit/>
          <w:jc w:val="center"/>
        </w:trPr>
        <w:tc>
          <w:tcPr>
            <w:tcW w:w="685" w:type="pct"/>
          </w:tcPr>
          <w:p w14:paraId="0A71D8B3" w14:textId="77777777" w:rsidR="00771086" w:rsidRPr="00DB5740" w:rsidRDefault="00771086" w:rsidP="00771086">
            <w:pPr>
              <w:rPr>
                <w:sz w:val="21"/>
                <w:szCs w:val="21"/>
              </w:rPr>
            </w:pPr>
          </w:p>
        </w:tc>
        <w:tc>
          <w:tcPr>
            <w:tcW w:w="584" w:type="pct"/>
          </w:tcPr>
          <w:p w14:paraId="4C92F5A9" w14:textId="77777777" w:rsidR="00771086" w:rsidRPr="00DB5740" w:rsidRDefault="00771086" w:rsidP="00771086"/>
        </w:tc>
        <w:tc>
          <w:tcPr>
            <w:tcW w:w="1907" w:type="pct"/>
          </w:tcPr>
          <w:p w14:paraId="3CE73BCC" w14:textId="77777777" w:rsidR="00771086" w:rsidRPr="00DB5740" w:rsidRDefault="005B5528" w:rsidP="00771086">
            <w:pPr>
              <w:autoSpaceDE w:val="0"/>
              <w:autoSpaceDN w:val="0"/>
              <w:adjustRightInd w:val="0"/>
              <w:spacing w:after="120"/>
            </w:pPr>
            <w:r w:rsidRPr="00DB5740">
              <w:rPr>
                <w:b/>
                <w:bCs/>
              </w:rPr>
              <w:t>Large accelerated filers</w:t>
            </w:r>
            <w:r w:rsidRPr="00DB5740">
              <w:t xml:space="preserve"> are companies that have a public equity float of $700 million or more and satisfy the addit</w:t>
            </w:r>
            <w:r w:rsidRPr="00DB5740">
              <w:t>ional conditions below.</w:t>
            </w:r>
          </w:p>
          <w:p w14:paraId="0DEDCE10" w14:textId="77777777" w:rsidR="00771086" w:rsidRPr="00DB5740" w:rsidRDefault="005B5528" w:rsidP="00771086">
            <w:pPr>
              <w:autoSpaceDE w:val="0"/>
              <w:autoSpaceDN w:val="0"/>
              <w:adjustRightInd w:val="0"/>
              <w:spacing w:after="120"/>
            </w:pPr>
            <w:r w:rsidRPr="00DB5740">
              <w:rPr>
                <w:b/>
                <w:bCs/>
              </w:rPr>
              <w:t>Accelerated filers</w:t>
            </w:r>
            <w:r w:rsidRPr="00DB5740">
              <w:t xml:space="preserve"> are companies that have a public equity float of $75 million </w:t>
            </w:r>
            <w:r>
              <w:t xml:space="preserve">or more </w:t>
            </w:r>
            <w:r w:rsidRPr="00DB5740">
              <w:t xml:space="preserve">and satisfy the additional conditions below. </w:t>
            </w:r>
          </w:p>
          <w:p w14:paraId="77070431" w14:textId="77777777" w:rsidR="00771086" w:rsidRPr="00DB5740" w:rsidRDefault="005B5528" w:rsidP="00771086">
            <w:pPr>
              <w:autoSpaceDE w:val="0"/>
              <w:autoSpaceDN w:val="0"/>
              <w:adjustRightInd w:val="0"/>
              <w:spacing w:after="120"/>
            </w:pPr>
            <w:r w:rsidRPr="00DB5740">
              <w:t>Public float is determined as of the last business day of the most recently completed second fisca</w:t>
            </w:r>
            <w:r w:rsidRPr="00DB5740">
              <w:t>l quarter.  Additional conditions: in addition to the public float test, large accelerated filers and accelerated filers must (1) have been subject to the periodic reporting requirements of the Exchange Act for at least twelve months, (2) have previously f</w:t>
            </w:r>
            <w:r w:rsidRPr="00DB5740">
              <w:t xml:space="preserve">iled at least one annual report pursuant to Section 13(a) or 15(d) under the Exchange Act, and (3) not be eligible to use SEC </w:t>
            </w:r>
            <w:r>
              <w:t>“</w:t>
            </w:r>
            <w:r w:rsidRPr="00DB5740">
              <w:t>smaller reporting company</w:t>
            </w:r>
            <w:r>
              <w:t>”</w:t>
            </w:r>
            <w:r w:rsidRPr="00DB5740">
              <w:t xml:space="preserve"> rules.</w:t>
            </w:r>
          </w:p>
          <w:p w14:paraId="6338B779" w14:textId="77777777" w:rsidR="00771086" w:rsidRPr="00DB5740" w:rsidRDefault="005B5528" w:rsidP="00771086">
            <w:pPr>
              <w:autoSpaceDE w:val="0"/>
              <w:autoSpaceDN w:val="0"/>
              <w:adjustRightInd w:val="0"/>
              <w:spacing w:after="120"/>
            </w:pPr>
            <w:r w:rsidRPr="00DB5740">
              <w:t xml:space="preserve">Note that under the amended </w:t>
            </w:r>
            <w:r>
              <w:t>smaller reporting company</w:t>
            </w:r>
            <w:r w:rsidRPr="00DB5740">
              <w:t xml:space="preserve"> definition, a company may be an </w:t>
            </w:r>
            <w:r>
              <w:t>accelerat</w:t>
            </w:r>
            <w:r>
              <w:t>ed filer and a smaller reporting company</w:t>
            </w:r>
            <w:r w:rsidRPr="00DB5740">
              <w:t>.</w:t>
            </w:r>
          </w:p>
        </w:tc>
        <w:tc>
          <w:tcPr>
            <w:tcW w:w="925" w:type="pct"/>
          </w:tcPr>
          <w:p w14:paraId="11E3778C" w14:textId="77777777" w:rsidR="00771086" w:rsidRPr="00DB5740" w:rsidRDefault="00771086" w:rsidP="00771086">
            <w:pPr>
              <w:autoSpaceDE w:val="0"/>
              <w:autoSpaceDN w:val="0"/>
              <w:adjustRightInd w:val="0"/>
              <w:spacing w:after="120"/>
            </w:pPr>
          </w:p>
        </w:tc>
        <w:tc>
          <w:tcPr>
            <w:tcW w:w="585" w:type="pct"/>
            <w:vAlign w:val="center"/>
          </w:tcPr>
          <w:p w14:paraId="5E6E007D" w14:textId="77777777" w:rsidR="00771086" w:rsidRPr="00DB5740" w:rsidRDefault="00771086" w:rsidP="00771086">
            <w:pPr>
              <w:rPr>
                <w:b/>
                <w:i/>
                <w:color w:val="FF0000"/>
              </w:rPr>
            </w:pPr>
          </w:p>
        </w:tc>
        <w:tc>
          <w:tcPr>
            <w:tcW w:w="314" w:type="pct"/>
            <w:gridSpan w:val="2"/>
            <w:vAlign w:val="center"/>
          </w:tcPr>
          <w:p w14:paraId="3D1591F4" w14:textId="77777777" w:rsidR="00771086" w:rsidRPr="00DB5740" w:rsidRDefault="00771086" w:rsidP="00771086">
            <w:pPr>
              <w:jc w:val="center"/>
            </w:pPr>
          </w:p>
        </w:tc>
      </w:tr>
      <w:tr w:rsidR="00000000" w14:paraId="19E0A3F2" w14:textId="77777777" w:rsidTr="00BF4090">
        <w:trPr>
          <w:cantSplit/>
          <w:jc w:val="center"/>
        </w:trPr>
        <w:tc>
          <w:tcPr>
            <w:tcW w:w="685" w:type="pct"/>
          </w:tcPr>
          <w:p w14:paraId="619CC8EF" w14:textId="77777777" w:rsidR="00771086" w:rsidRPr="00DB5740" w:rsidRDefault="005B5528" w:rsidP="00771086">
            <w:pPr>
              <w:rPr>
                <w:sz w:val="21"/>
                <w:szCs w:val="21"/>
              </w:rPr>
            </w:pPr>
            <w:r w:rsidRPr="00DB5740">
              <w:rPr>
                <w:sz w:val="21"/>
                <w:szCs w:val="21"/>
              </w:rPr>
              <w:t xml:space="preserve">Check box to indicate Section 16 reporting delinquencies </w:t>
            </w:r>
          </w:p>
        </w:tc>
        <w:tc>
          <w:tcPr>
            <w:tcW w:w="584" w:type="pct"/>
          </w:tcPr>
          <w:p w14:paraId="56D55D01" w14:textId="77777777" w:rsidR="00771086" w:rsidRPr="00DB5740" w:rsidRDefault="005B5528" w:rsidP="00771086">
            <w:r w:rsidRPr="00DB5740">
              <w:t xml:space="preserve">Form </w:t>
            </w:r>
            <w:r>
              <w:t>10</w:t>
            </w:r>
            <w:r>
              <w:noBreakHyphen/>
              <w:t>K</w:t>
            </w:r>
            <w:r w:rsidRPr="00DB5740">
              <w:t xml:space="preserve"> Cover Page</w:t>
            </w:r>
          </w:p>
        </w:tc>
        <w:tc>
          <w:tcPr>
            <w:tcW w:w="1907" w:type="pct"/>
          </w:tcPr>
          <w:p w14:paraId="525DC395" w14:textId="77777777" w:rsidR="00771086" w:rsidRPr="00215BB8" w:rsidRDefault="005B5528" w:rsidP="00771086">
            <w:pPr>
              <w:autoSpaceDE w:val="0"/>
              <w:autoSpaceDN w:val="0"/>
              <w:adjustRightInd w:val="0"/>
              <w:spacing w:after="120"/>
              <w:rPr>
                <w:i/>
                <w:iCs/>
              </w:rPr>
            </w:pPr>
            <w:r w:rsidRPr="00215BB8">
              <w:rPr>
                <w:i/>
                <w:iCs/>
              </w:rPr>
              <w:t xml:space="preserve">Confirm that the cover page </w:t>
            </w:r>
            <w:r w:rsidRPr="00434DB2">
              <w:rPr>
                <w:b/>
                <w:bCs/>
                <w:i/>
                <w:iCs/>
              </w:rPr>
              <w:t>does not include</w:t>
            </w:r>
            <w:r w:rsidRPr="00215BB8">
              <w:rPr>
                <w:i/>
                <w:iCs/>
              </w:rPr>
              <w:t xml:space="preserve"> text and a related check box to indicate delinquent Section 16(a) reports, which have </w:t>
            </w:r>
            <w:r w:rsidRPr="00215BB8">
              <w:rPr>
                <w:i/>
                <w:iCs/>
              </w:rPr>
              <w:t>been eliminated by SEC amendments</w:t>
            </w:r>
          </w:p>
        </w:tc>
        <w:tc>
          <w:tcPr>
            <w:tcW w:w="925" w:type="pct"/>
          </w:tcPr>
          <w:p w14:paraId="72250B42" w14:textId="77777777" w:rsidR="00771086" w:rsidRPr="00DB5740" w:rsidRDefault="005B5528" w:rsidP="00771086">
            <w:pPr>
              <w:autoSpaceDE w:val="0"/>
              <w:autoSpaceDN w:val="0"/>
              <w:adjustRightInd w:val="0"/>
              <w:spacing w:after="120"/>
            </w:pPr>
            <w:r w:rsidRPr="00DB5740">
              <w:t xml:space="preserve">See </w:t>
            </w:r>
            <w:hyperlink r:id="rId51" w:history="1">
              <w:r w:rsidRPr="00DB5740">
                <w:rPr>
                  <w:rStyle w:val="Hyperlink"/>
                </w:rPr>
                <w:t>Disclosure Simplification, Round Two: A Deep Dive Into The SEC</w:t>
              </w:r>
              <w:r>
                <w:rPr>
                  <w:rStyle w:val="Hyperlink"/>
                </w:rPr>
                <w:t>’</w:t>
              </w:r>
              <w:r w:rsidRPr="00DB5740">
                <w:rPr>
                  <w:rStyle w:val="Hyperlink"/>
                </w:rPr>
                <w:t>s New Amendments</w:t>
              </w:r>
            </w:hyperlink>
            <w:r w:rsidRPr="00DB5740">
              <w:t xml:space="preserve"> (Goodwin alert)  </w:t>
            </w:r>
          </w:p>
        </w:tc>
        <w:tc>
          <w:tcPr>
            <w:tcW w:w="585" w:type="pct"/>
            <w:vAlign w:val="center"/>
          </w:tcPr>
          <w:p w14:paraId="122DE4E8" w14:textId="77777777" w:rsidR="00771086" w:rsidRPr="00DB5740" w:rsidRDefault="00771086" w:rsidP="00771086">
            <w:pPr>
              <w:rPr>
                <w:b/>
                <w:i/>
                <w:color w:val="FF0000"/>
              </w:rPr>
            </w:pPr>
          </w:p>
        </w:tc>
        <w:tc>
          <w:tcPr>
            <w:tcW w:w="314" w:type="pct"/>
            <w:gridSpan w:val="2"/>
            <w:vAlign w:val="center"/>
          </w:tcPr>
          <w:p w14:paraId="05B34A90"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4A402538"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1BF9B1B2" w14:textId="77777777" w:rsidTr="00BF4090">
        <w:trPr>
          <w:cantSplit/>
          <w:jc w:val="center"/>
        </w:trPr>
        <w:tc>
          <w:tcPr>
            <w:tcW w:w="685" w:type="pct"/>
          </w:tcPr>
          <w:p w14:paraId="59FE4325" w14:textId="77777777" w:rsidR="00771086" w:rsidRPr="00DB5740" w:rsidRDefault="005B5528" w:rsidP="00771086">
            <w:pPr>
              <w:rPr>
                <w:sz w:val="21"/>
                <w:szCs w:val="21"/>
              </w:rPr>
            </w:pPr>
            <w:r w:rsidRPr="00DB5740">
              <w:rPr>
                <w:sz w:val="21"/>
                <w:szCs w:val="21"/>
              </w:rPr>
              <w:lastRenderedPageBreak/>
              <w:t>If an emerging growth company, indicate by check mark if the registrant has elected not to use the extended transition period for complying with any new or revised financial accounting standards provided pursuant to Section 13(a) of the Exchange Act.</w:t>
            </w:r>
          </w:p>
        </w:tc>
        <w:tc>
          <w:tcPr>
            <w:tcW w:w="584" w:type="pct"/>
          </w:tcPr>
          <w:p w14:paraId="0A62C02E" w14:textId="77777777" w:rsidR="00771086" w:rsidRPr="00DB5740" w:rsidRDefault="005B5528" w:rsidP="00771086">
            <w:r w:rsidRPr="00DB5740">
              <w:t>Form</w:t>
            </w:r>
            <w:r w:rsidRPr="00DB5740">
              <w:t xml:space="preserve"> </w:t>
            </w:r>
            <w:r>
              <w:t>10</w:t>
            </w:r>
            <w:r>
              <w:noBreakHyphen/>
              <w:t>K</w:t>
            </w:r>
          </w:p>
          <w:p w14:paraId="0973611B" w14:textId="77777777" w:rsidR="00771086" w:rsidRPr="00DB5740" w:rsidRDefault="005B5528" w:rsidP="00771086">
            <w:r w:rsidRPr="00DB5740">
              <w:t>Cover Page</w:t>
            </w:r>
          </w:p>
        </w:tc>
        <w:tc>
          <w:tcPr>
            <w:tcW w:w="1907" w:type="pct"/>
          </w:tcPr>
          <w:p w14:paraId="2A610BB9" w14:textId="77777777" w:rsidR="00771086" w:rsidRPr="00DB5740" w:rsidRDefault="005B5528" w:rsidP="00771086">
            <w:pPr>
              <w:spacing w:after="120"/>
            </w:pPr>
            <w:r w:rsidRPr="00DB5740">
              <w:t xml:space="preserve">If the company is an emerging growth company, check the box if the company has elected </w:t>
            </w:r>
            <w:r w:rsidRPr="00DB5740">
              <w:rPr>
                <w:b/>
                <w:bCs/>
              </w:rPr>
              <w:t>not</w:t>
            </w:r>
            <w:r w:rsidRPr="00DB5740">
              <w:t xml:space="preserve"> to use the extended transition period for complying with any new or revised financial accounting standards, as provided in Section 13(a) of the Exch</w:t>
            </w:r>
            <w:r w:rsidRPr="00DB5740">
              <w:t>ange Act.</w:t>
            </w:r>
          </w:p>
          <w:p w14:paraId="680B738C" w14:textId="77777777" w:rsidR="00771086" w:rsidRDefault="005B5528" w:rsidP="00771086">
            <w:pPr>
              <w:spacing w:after="120"/>
            </w:pPr>
            <w:r w:rsidRPr="00DB5740">
              <w:t>C</w:t>
            </w:r>
            <w:r>
              <w:t>ompare the status of the company’s election from its IPO registration statement filed on the EDGAR website.</w:t>
            </w:r>
          </w:p>
          <w:p w14:paraId="1A5CBCAB" w14:textId="77777777" w:rsidR="00771086" w:rsidRPr="00215BB8" w:rsidRDefault="005B5528" w:rsidP="00771086">
            <w:pPr>
              <w:spacing w:after="120"/>
              <w:rPr>
                <w:i/>
                <w:iCs/>
              </w:rPr>
            </w:pPr>
            <w:r w:rsidRPr="00215BB8">
              <w:rPr>
                <w:i/>
                <w:iCs/>
              </w:rPr>
              <w:t>Confirm that the checked/not checked status of this box is consistent with the company</w:t>
            </w:r>
            <w:r>
              <w:rPr>
                <w:i/>
                <w:iCs/>
              </w:rPr>
              <w:t>’</w:t>
            </w:r>
            <w:r w:rsidRPr="00215BB8">
              <w:rPr>
                <w:i/>
                <w:iCs/>
              </w:rPr>
              <w:t>s election at the time of its IPO and if not confi</w:t>
            </w:r>
            <w:r w:rsidRPr="00215BB8">
              <w:rPr>
                <w:i/>
                <w:iCs/>
              </w:rPr>
              <w:t>rm why not.</w:t>
            </w:r>
          </w:p>
          <w:p w14:paraId="72BEBACB" w14:textId="77777777" w:rsidR="00771086" w:rsidRDefault="005B5528" w:rsidP="00771086">
            <w:pPr>
              <w:spacing w:after="120"/>
            </w:pPr>
            <w:r>
              <w:t>If an EGC</w:t>
            </w:r>
            <w:r w:rsidRPr="00B76FF6">
              <w:t xml:space="preserve"> chooses to take advantage of the extended transition period provided in Section 7(a)(2)(B) of the Securities Act for complying with new or revised financial accounting standards</w:t>
            </w:r>
            <w:r>
              <w:t xml:space="preserve"> (opt </w:t>
            </w:r>
            <w:r>
              <w:rPr>
                <w:b/>
                <w:bCs/>
              </w:rPr>
              <w:t>out</w:t>
            </w:r>
            <w:r>
              <w:t>)</w:t>
            </w:r>
            <w:r w:rsidRPr="00B76FF6">
              <w:t xml:space="preserve">, </w:t>
            </w:r>
            <w:r>
              <w:t>the EGC can later</w:t>
            </w:r>
            <w:r w:rsidRPr="00B76FF6">
              <w:t xml:space="preserve"> opt </w:t>
            </w:r>
            <w:r w:rsidRPr="00B76FF6">
              <w:rPr>
                <w:b/>
                <w:bCs/>
              </w:rPr>
              <w:t>in</w:t>
            </w:r>
            <w:r w:rsidRPr="00B76FF6">
              <w:t xml:space="preserve"> (</w:t>
            </w:r>
            <w:r w:rsidRPr="00B76FF6">
              <w:rPr>
                <w:i/>
                <w:iCs/>
              </w:rPr>
              <w:t>i.e</w:t>
            </w:r>
            <w:r w:rsidRPr="00B76FF6">
              <w:t>., comply with t</w:t>
            </w:r>
            <w:r w:rsidRPr="00B76FF6">
              <w:t>he financial accounting standard effective dates applicable to non-</w:t>
            </w:r>
            <w:r>
              <w:t>EGC</w:t>
            </w:r>
            <w:r w:rsidRPr="00B76FF6">
              <w:t>s)</w:t>
            </w:r>
            <w:r>
              <w:t xml:space="preserve">.  SEC staff guidance states that the decision to opt in should be “prominently disclosed in the first periodic report or registration statement </w:t>
            </w:r>
            <w:r w:rsidRPr="004E2F2B">
              <w:t>following the company</w:t>
            </w:r>
            <w:r>
              <w:t>’</w:t>
            </w:r>
            <w:r w:rsidRPr="004E2F2B">
              <w:t>s decision and is</w:t>
            </w:r>
            <w:r w:rsidRPr="004E2F2B">
              <w:t xml:space="preserve"> irrevocable.</w:t>
            </w:r>
            <w:r>
              <w:t>”</w:t>
            </w:r>
            <w:r w:rsidRPr="004E2F2B">
              <w:t xml:space="preserve">  (Question 37, </w:t>
            </w:r>
            <w:hyperlink r:id="rId52" w:history="1">
              <w:r w:rsidRPr="004E2F2B">
                <w:rPr>
                  <w:rStyle w:val="Hyperlink"/>
                </w:rPr>
                <w:t xml:space="preserve">Jumpstart Our </w:t>
              </w:r>
              <w:r>
                <w:rPr>
                  <w:rStyle w:val="Hyperlink"/>
                </w:rPr>
                <w:t>Bu</w:t>
              </w:r>
              <w:r w:rsidRPr="004E2F2B">
                <w:rPr>
                  <w:rStyle w:val="Hyperlink"/>
                </w:rPr>
                <w:t>siness Startups Act Frequently Asked Questions - Gene</w:t>
              </w:r>
              <w:bookmarkStart w:id="25" w:name="_Hlt93998906"/>
              <w:bookmarkStart w:id="26" w:name="_Hlt93998907"/>
              <w:r w:rsidRPr="004E2F2B">
                <w:rPr>
                  <w:rStyle w:val="Hyperlink"/>
                </w:rPr>
                <w:t>r</w:t>
              </w:r>
              <w:bookmarkEnd w:id="25"/>
              <w:bookmarkEnd w:id="26"/>
              <w:r w:rsidRPr="004E2F2B">
                <w:rPr>
                  <w:rStyle w:val="Hyperlink"/>
                </w:rPr>
                <w:t>ally Applicable Questions on Title I of the JOBS Act</w:t>
              </w:r>
            </w:hyperlink>
            <w:r w:rsidRPr="004E2F2B">
              <w:t>.)</w:t>
            </w:r>
          </w:p>
          <w:p w14:paraId="1A10F350" w14:textId="77777777" w:rsidR="00771086" w:rsidRPr="00C55FA9" w:rsidRDefault="005B5528" w:rsidP="00771086">
            <w:pPr>
              <w:spacing w:after="120"/>
            </w:pPr>
            <w:r>
              <w:t>Com</w:t>
            </w:r>
            <w:r>
              <w:t xml:space="preserve">panies that opt </w:t>
            </w:r>
            <w:r w:rsidRPr="00881191">
              <w:rPr>
                <w:b/>
                <w:bCs/>
              </w:rPr>
              <w:t>out</w:t>
            </w:r>
            <w:r>
              <w:t xml:space="preserve"> (</w:t>
            </w:r>
            <w:r>
              <w:rPr>
                <w:i/>
                <w:iCs/>
              </w:rPr>
              <w:t>i.e.,</w:t>
            </w:r>
            <w:r>
              <w:t xml:space="preserve"> elect </w:t>
            </w:r>
            <w:r w:rsidRPr="004C5B09">
              <w:rPr>
                <w:b/>
                <w:bCs/>
              </w:rPr>
              <w:t>not</w:t>
            </w:r>
            <w:r>
              <w:t xml:space="preserve"> to use the extended transition period) in connection with filing their initial registration statement, and companies that opt </w:t>
            </w:r>
            <w:r w:rsidRPr="00E45F48">
              <w:rPr>
                <w:b/>
                <w:bCs/>
              </w:rPr>
              <w:t>out</w:t>
            </w:r>
            <w:r>
              <w:t xml:space="preserve"> at </w:t>
            </w:r>
            <w:r w:rsidRPr="00401FB9">
              <w:t xml:space="preserve">a later time, cannot subsequently opt </w:t>
            </w:r>
            <w:r w:rsidRPr="00401FB9">
              <w:rPr>
                <w:b/>
                <w:bCs/>
              </w:rPr>
              <w:t>in</w:t>
            </w:r>
            <w:r w:rsidRPr="00401FB9">
              <w:t xml:space="preserve">.  (Question 13 and Question 37, </w:t>
            </w:r>
            <w:hyperlink r:id="rId53" w:history="1">
              <w:r w:rsidRPr="00401FB9">
                <w:rPr>
                  <w:rStyle w:val="Hyperlink"/>
                </w:rPr>
                <w:t>Jumpstart Our Business Startups Act Frequently Asked Questions - Generally Applicable Questions on Title I of the JOBS Act</w:t>
              </w:r>
            </w:hyperlink>
            <w:r w:rsidRPr="00401FB9">
              <w:t>.)</w:t>
            </w:r>
          </w:p>
          <w:p w14:paraId="1752F764" w14:textId="77777777" w:rsidR="00771086" w:rsidRPr="00DB5740" w:rsidRDefault="00771086" w:rsidP="00771086">
            <w:pPr>
              <w:autoSpaceDE w:val="0"/>
              <w:autoSpaceDN w:val="0"/>
              <w:adjustRightInd w:val="0"/>
              <w:spacing w:after="120"/>
            </w:pPr>
          </w:p>
        </w:tc>
        <w:tc>
          <w:tcPr>
            <w:tcW w:w="925" w:type="pct"/>
          </w:tcPr>
          <w:p w14:paraId="64E97B10" w14:textId="77777777" w:rsidR="00771086" w:rsidRPr="00DB5740" w:rsidRDefault="00771086" w:rsidP="00771086">
            <w:pPr>
              <w:autoSpaceDE w:val="0"/>
              <w:autoSpaceDN w:val="0"/>
              <w:adjustRightInd w:val="0"/>
              <w:spacing w:after="120"/>
            </w:pPr>
          </w:p>
        </w:tc>
        <w:tc>
          <w:tcPr>
            <w:tcW w:w="585" w:type="pct"/>
            <w:vAlign w:val="center"/>
          </w:tcPr>
          <w:p w14:paraId="6C22F671" w14:textId="77777777" w:rsidR="00771086" w:rsidRPr="00DB5740" w:rsidRDefault="00771086" w:rsidP="00771086">
            <w:pPr>
              <w:rPr>
                <w:b/>
                <w:i/>
                <w:color w:val="FF0000"/>
              </w:rPr>
            </w:pPr>
          </w:p>
        </w:tc>
        <w:tc>
          <w:tcPr>
            <w:tcW w:w="314" w:type="pct"/>
            <w:gridSpan w:val="2"/>
            <w:vAlign w:val="center"/>
          </w:tcPr>
          <w:p w14:paraId="145540E5"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25A73DC7"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0080C96A" w14:textId="77777777" w:rsidTr="00BF4090">
        <w:trPr>
          <w:cantSplit/>
          <w:jc w:val="center"/>
        </w:trPr>
        <w:tc>
          <w:tcPr>
            <w:tcW w:w="685" w:type="pct"/>
          </w:tcPr>
          <w:p w14:paraId="5522A832" w14:textId="77777777" w:rsidR="00771086" w:rsidRPr="00DB5740" w:rsidRDefault="005B5528" w:rsidP="00771086">
            <w:pPr>
              <w:rPr>
                <w:sz w:val="21"/>
                <w:szCs w:val="21"/>
              </w:rPr>
            </w:pPr>
            <w:r w:rsidRPr="00DB5740">
              <w:rPr>
                <w:sz w:val="21"/>
                <w:szCs w:val="21"/>
              </w:rPr>
              <w:lastRenderedPageBreak/>
              <w:t>Indicate by check mark whether</w:t>
            </w:r>
            <w:r w:rsidRPr="00DB5740">
              <w:rPr>
                <w:sz w:val="21"/>
                <w:szCs w:val="21"/>
              </w:rPr>
              <w:t xml:space="preserve"> the registrant has filed a report on and attestation to its management</w:t>
            </w:r>
            <w:r>
              <w:rPr>
                <w:sz w:val="21"/>
                <w:szCs w:val="21"/>
              </w:rPr>
              <w:t>’</w:t>
            </w:r>
            <w:r w:rsidRPr="00DB5740">
              <w:rPr>
                <w:sz w:val="21"/>
                <w:szCs w:val="21"/>
              </w:rPr>
              <w:t>s assessment of the effectiveness of its internal control over financial reporting under Section 404(b) of the Sarbanes-Oxley Act by the registered public accounting firm that prepared</w:t>
            </w:r>
            <w:r w:rsidRPr="00DB5740">
              <w:rPr>
                <w:sz w:val="21"/>
                <w:szCs w:val="21"/>
              </w:rPr>
              <w:t xml:space="preserve"> or issued its audit report.</w:t>
            </w:r>
          </w:p>
        </w:tc>
        <w:tc>
          <w:tcPr>
            <w:tcW w:w="584" w:type="pct"/>
          </w:tcPr>
          <w:p w14:paraId="2D9B5849" w14:textId="77777777" w:rsidR="00771086" w:rsidRPr="00DB5740" w:rsidRDefault="005B5528" w:rsidP="00771086">
            <w:r w:rsidRPr="00DB5740">
              <w:t xml:space="preserve">Form </w:t>
            </w:r>
            <w:r>
              <w:t>10</w:t>
            </w:r>
            <w:r>
              <w:noBreakHyphen/>
              <w:t>K</w:t>
            </w:r>
          </w:p>
          <w:p w14:paraId="3B96C55B" w14:textId="77777777" w:rsidR="00771086" w:rsidRPr="00DB5740" w:rsidRDefault="005B5528" w:rsidP="00771086">
            <w:r w:rsidRPr="00DB5740">
              <w:t>Cover Page</w:t>
            </w:r>
          </w:p>
        </w:tc>
        <w:tc>
          <w:tcPr>
            <w:tcW w:w="1907" w:type="pct"/>
          </w:tcPr>
          <w:p w14:paraId="221E0FEC" w14:textId="77777777" w:rsidR="00771086" w:rsidRPr="00215BB8" w:rsidRDefault="005B5528" w:rsidP="00771086">
            <w:pPr>
              <w:autoSpaceDE w:val="0"/>
              <w:autoSpaceDN w:val="0"/>
              <w:adjustRightInd w:val="0"/>
              <w:spacing w:after="120"/>
              <w:rPr>
                <w:i/>
                <w:iCs/>
              </w:rPr>
            </w:pPr>
            <w:r w:rsidRPr="00215BB8">
              <w:rPr>
                <w:i/>
                <w:iCs/>
              </w:rPr>
              <w:t>Confirm that this box has been checked unless the company is a non-accelerated filer or otherwise qualifies for an exemption from Section 404(b) of the Sarbanes-Oxley Act.</w:t>
            </w:r>
          </w:p>
        </w:tc>
        <w:tc>
          <w:tcPr>
            <w:tcW w:w="925" w:type="pct"/>
          </w:tcPr>
          <w:p w14:paraId="76559EBB" w14:textId="77777777" w:rsidR="00771086" w:rsidRPr="00783EBF" w:rsidRDefault="005B5528" w:rsidP="00771086">
            <w:pPr>
              <w:autoSpaceDE w:val="0"/>
              <w:autoSpaceDN w:val="0"/>
              <w:adjustRightInd w:val="0"/>
              <w:spacing w:after="120"/>
            </w:pPr>
            <w:hyperlink r:id="rId54" w:history="1">
              <w:r w:rsidRPr="00DB5740">
                <w:rPr>
                  <w:rStyle w:val="Hyperlink"/>
                </w:rPr>
                <w:t>SEC Amendments Exempt More Smaller Reporting Companies</w:t>
              </w:r>
              <w:bookmarkStart w:id="27" w:name="_Hlt93998915"/>
              <w:bookmarkStart w:id="28" w:name="_Hlt93998916"/>
              <w:r w:rsidRPr="00DB5740">
                <w:rPr>
                  <w:rStyle w:val="Hyperlink"/>
                </w:rPr>
                <w:t xml:space="preserve"> </w:t>
              </w:r>
              <w:bookmarkEnd w:id="27"/>
              <w:bookmarkEnd w:id="28"/>
              <w:r w:rsidRPr="00DB5740">
                <w:rPr>
                  <w:rStyle w:val="Hyperlink"/>
                </w:rPr>
                <w:t>from SOX 404(b)  and Accelerated Filing Deadlines</w:t>
              </w:r>
            </w:hyperlink>
            <w:r>
              <w:t xml:space="preserve"> </w:t>
            </w:r>
            <w:r w:rsidRPr="00DB5740">
              <w:t>(Goodwin alert)</w:t>
            </w:r>
          </w:p>
        </w:tc>
        <w:tc>
          <w:tcPr>
            <w:tcW w:w="585" w:type="pct"/>
            <w:vAlign w:val="center"/>
          </w:tcPr>
          <w:p w14:paraId="4DB76F82" w14:textId="77777777" w:rsidR="00771086" w:rsidRPr="00DB5740" w:rsidRDefault="00771086" w:rsidP="00771086">
            <w:pPr>
              <w:rPr>
                <w:b/>
                <w:i/>
                <w:color w:val="FF0000"/>
              </w:rPr>
            </w:pPr>
          </w:p>
        </w:tc>
        <w:tc>
          <w:tcPr>
            <w:tcW w:w="314" w:type="pct"/>
            <w:gridSpan w:val="2"/>
            <w:vAlign w:val="center"/>
          </w:tcPr>
          <w:p w14:paraId="113DA692"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052BE870"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02D416E2" w14:textId="77777777" w:rsidTr="00BF4090">
        <w:trPr>
          <w:cantSplit/>
          <w:jc w:val="center"/>
        </w:trPr>
        <w:tc>
          <w:tcPr>
            <w:tcW w:w="685" w:type="pct"/>
          </w:tcPr>
          <w:p w14:paraId="67BB87E0" w14:textId="77777777" w:rsidR="00771086" w:rsidRPr="00DB5740" w:rsidRDefault="005B5528" w:rsidP="00771086">
            <w:pPr>
              <w:rPr>
                <w:sz w:val="21"/>
                <w:szCs w:val="21"/>
              </w:rPr>
            </w:pPr>
            <w:r w:rsidRPr="00434DB2">
              <w:rPr>
                <w:sz w:val="21"/>
                <w:szCs w:val="21"/>
              </w:rPr>
              <w:lastRenderedPageBreak/>
              <w:t>Indicate by check mark whether the regist</w:t>
            </w:r>
            <w:r w:rsidRPr="00434DB2">
              <w:rPr>
                <w:sz w:val="21"/>
                <w:szCs w:val="21"/>
              </w:rPr>
              <w:t xml:space="preserve">rant is a shell company (as defined in Rule 12b-2 of the </w:t>
            </w:r>
            <w:r>
              <w:rPr>
                <w:sz w:val="21"/>
                <w:szCs w:val="21"/>
              </w:rPr>
              <w:t xml:space="preserve">[Exchange] </w:t>
            </w:r>
            <w:r w:rsidRPr="00434DB2">
              <w:rPr>
                <w:sz w:val="21"/>
                <w:szCs w:val="21"/>
              </w:rPr>
              <w:t>Act).</w:t>
            </w:r>
          </w:p>
        </w:tc>
        <w:tc>
          <w:tcPr>
            <w:tcW w:w="584" w:type="pct"/>
          </w:tcPr>
          <w:p w14:paraId="20588833" w14:textId="77777777" w:rsidR="00771086" w:rsidRPr="00DB5740" w:rsidRDefault="00771086" w:rsidP="00771086"/>
        </w:tc>
        <w:tc>
          <w:tcPr>
            <w:tcW w:w="1907" w:type="pct"/>
          </w:tcPr>
          <w:p w14:paraId="7F6DDA13" w14:textId="77777777" w:rsidR="00771086" w:rsidRPr="003E1AAA" w:rsidRDefault="005B5528" w:rsidP="00771086">
            <w:pPr>
              <w:spacing w:after="120"/>
              <w:rPr>
                <w:sz w:val="21"/>
                <w:szCs w:val="21"/>
              </w:rPr>
            </w:pPr>
            <w:r w:rsidRPr="003E1AAA">
              <w:rPr>
                <w:sz w:val="21"/>
                <w:szCs w:val="21"/>
              </w:rPr>
              <w:t>Rule 12b-2 defines “shell company” as follows:</w:t>
            </w:r>
          </w:p>
          <w:p w14:paraId="34540B08" w14:textId="77777777" w:rsidR="00771086" w:rsidRPr="003E1AAA" w:rsidRDefault="005B5528" w:rsidP="00771086">
            <w:pPr>
              <w:ind w:left="340"/>
              <w:rPr>
                <w:sz w:val="21"/>
                <w:szCs w:val="21"/>
              </w:rPr>
            </w:pPr>
            <w:r w:rsidRPr="003E1AAA">
              <w:rPr>
                <w:sz w:val="21"/>
                <w:szCs w:val="21"/>
              </w:rPr>
              <w:t>Shell company: The term shell company means a registrant, other than an asset-backed issuer as defined in Item 1101(b) of Regulation A</w:t>
            </w:r>
            <w:r w:rsidRPr="003E1AAA">
              <w:rPr>
                <w:sz w:val="21"/>
                <w:szCs w:val="21"/>
              </w:rPr>
              <w:t>B, that has:</w:t>
            </w:r>
          </w:p>
          <w:p w14:paraId="1737FCC3" w14:textId="77777777" w:rsidR="00771086" w:rsidRPr="003E1AAA" w:rsidRDefault="005B5528" w:rsidP="00771086">
            <w:pPr>
              <w:ind w:left="680"/>
              <w:rPr>
                <w:sz w:val="21"/>
                <w:szCs w:val="21"/>
              </w:rPr>
            </w:pPr>
            <w:r w:rsidRPr="003E1AAA">
              <w:rPr>
                <w:sz w:val="21"/>
                <w:szCs w:val="21"/>
              </w:rPr>
              <w:t>(1) No or nominal operations; and</w:t>
            </w:r>
          </w:p>
          <w:p w14:paraId="59E889EC" w14:textId="77777777" w:rsidR="00771086" w:rsidRPr="003E1AAA" w:rsidRDefault="005B5528" w:rsidP="00771086">
            <w:pPr>
              <w:ind w:left="680"/>
              <w:rPr>
                <w:sz w:val="21"/>
                <w:szCs w:val="21"/>
              </w:rPr>
            </w:pPr>
            <w:r w:rsidRPr="003E1AAA">
              <w:rPr>
                <w:sz w:val="21"/>
                <w:szCs w:val="21"/>
              </w:rPr>
              <w:t>(2) Either:</w:t>
            </w:r>
          </w:p>
          <w:p w14:paraId="49000EB5" w14:textId="77777777" w:rsidR="00771086" w:rsidRPr="003E1AAA" w:rsidRDefault="005B5528" w:rsidP="00771086">
            <w:pPr>
              <w:ind w:left="1060"/>
              <w:rPr>
                <w:sz w:val="21"/>
                <w:szCs w:val="21"/>
              </w:rPr>
            </w:pPr>
            <w:r w:rsidRPr="003E1AAA">
              <w:rPr>
                <w:sz w:val="21"/>
                <w:szCs w:val="21"/>
              </w:rPr>
              <w:t>(i) No or nominal assets;</w:t>
            </w:r>
          </w:p>
          <w:p w14:paraId="224105C8" w14:textId="77777777" w:rsidR="00771086" w:rsidRPr="003E1AAA" w:rsidRDefault="005B5528" w:rsidP="00771086">
            <w:pPr>
              <w:ind w:left="1060"/>
              <w:rPr>
                <w:sz w:val="21"/>
                <w:szCs w:val="21"/>
              </w:rPr>
            </w:pPr>
            <w:r w:rsidRPr="003E1AAA">
              <w:rPr>
                <w:sz w:val="21"/>
                <w:szCs w:val="21"/>
              </w:rPr>
              <w:t>(ii) Assets consisting solely of cash</w:t>
            </w:r>
          </w:p>
          <w:p w14:paraId="33877CD5" w14:textId="77777777" w:rsidR="00771086" w:rsidRPr="003E1AAA" w:rsidRDefault="005B5528" w:rsidP="00771086">
            <w:pPr>
              <w:ind w:left="1060"/>
              <w:rPr>
                <w:sz w:val="21"/>
                <w:szCs w:val="21"/>
              </w:rPr>
            </w:pPr>
            <w:r w:rsidRPr="003E1AAA">
              <w:rPr>
                <w:sz w:val="21"/>
                <w:szCs w:val="21"/>
              </w:rPr>
              <w:t>and cash equivalents; or</w:t>
            </w:r>
          </w:p>
          <w:p w14:paraId="6FCCD38A" w14:textId="77777777" w:rsidR="00771086" w:rsidRPr="003E1AAA" w:rsidRDefault="005B5528" w:rsidP="00771086">
            <w:pPr>
              <w:spacing w:after="120"/>
              <w:ind w:left="1060"/>
              <w:rPr>
                <w:sz w:val="21"/>
                <w:szCs w:val="21"/>
              </w:rPr>
            </w:pPr>
            <w:r w:rsidRPr="003E1AAA">
              <w:rPr>
                <w:sz w:val="21"/>
                <w:szCs w:val="21"/>
              </w:rPr>
              <w:t>(iii) Assets consisting of any amount</w:t>
            </w:r>
            <w:r>
              <w:rPr>
                <w:sz w:val="21"/>
                <w:szCs w:val="21"/>
              </w:rPr>
              <w:t xml:space="preserve"> </w:t>
            </w:r>
            <w:r w:rsidRPr="003E1AAA">
              <w:rPr>
                <w:sz w:val="21"/>
                <w:szCs w:val="21"/>
              </w:rPr>
              <w:t>of cash and cash equivalents and nominal other assets.</w:t>
            </w:r>
          </w:p>
          <w:p w14:paraId="1FDC3F02" w14:textId="77777777" w:rsidR="00771086" w:rsidRDefault="005B5528" w:rsidP="00771086">
            <w:pPr>
              <w:ind w:left="340"/>
              <w:rPr>
                <w:sz w:val="21"/>
                <w:szCs w:val="21"/>
              </w:rPr>
            </w:pPr>
            <w:r w:rsidRPr="003E1AAA">
              <w:rPr>
                <w:sz w:val="21"/>
                <w:szCs w:val="21"/>
              </w:rPr>
              <w:t>NOTE: For purpo</w:t>
            </w:r>
            <w:r w:rsidRPr="003E1AAA">
              <w:rPr>
                <w:sz w:val="21"/>
                <w:szCs w:val="21"/>
              </w:rPr>
              <w:t>ses of this definition, the determination of a registrant’s assets (including cash and cash equivalents) is based solely on the amount of assets that would be reflected on the registrant’s balance sheet prepared in accordance with generally accepted accoun</w:t>
            </w:r>
            <w:r w:rsidRPr="003E1AAA">
              <w:rPr>
                <w:sz w:val="21"/>
                <w:szCs w:val="21"/>
              </w:rPr>
              <w:t>ting principles on the date of that determination.</w:t>
            </w:r>
          </w:p>
          <w:p w14:paraId="5F69FC87" w14:textId="77777777" w:rsidR="00771086" w:rsidRDefault="00771086" w:rsidP="00771086">
            <w:pPr>
              <w:rPr>
                <w:sz w:val="21"/>
                <w:szCs w:val="21"/>
              </w:rPr>
            </w:pPr>
          </w:p>
          <w:p w14:paraId="0009A7DB" w14:textId="77777777" w:rsidR="00771086" w:rsidRPr="003E1AAA" w:rsidRDefault="005B5528" w:rsidP="00771086">
            <w:pPr>
              <w:rPr>
                <w:sz w:val="21"/>
                <w:szCs w:val="21"/>
              </w:rPr>
            </w:pPr>
            <w:r>
              <w:rPr>
                <w:i/>
                <w:iCs/>
              </w:rPr>
              <w:t>C</w:t>
            </w:r>
            <w:r w:rsidRPr="00215BB8">
              <w:rPr>
                <w:i/>
                <w:iCs/>
              </w:rPr>
              <w:t xml:space="preserve">onfirm that this box has been checked </w:t>
            </w:r>
            <w:r>
              <w:rPr>
                <w:i/>
                <w:iCs/>
              </w:rPr>
              <w:t>if the company is a “shell company” as defined by SEC rules.</w:t>
            </w:r>
          </w:p>
        </w:tc>
        <w:tc>
          <w:tcPr>
            <w:tcW w:w="925" w:type="pct"/>
          </w:tcPr>
          <w:p w14:paraId="0D7923C0" w14:textId="77777777" w:rsidR="00771086" w:rsidRPr="00DB5740" w:rsidRDefault="00771086" w:rsidP="00771086">
            <w:pPr>
              <w:autoSpaceDE w:val="0"/>
              <w:autoSpaceDN w:val="0"/>
              <w:adjustRightInd w:val="0"/>
              <w:spacing w:after="120"/>
            </w:pPr>
          </w:p>
        </w:tc>
        <w:tc>
          <w:tcPr>
            <w:tcW w:w="585" w:type="pct"/>
            <w:vAlign w:val="center"/>
          </w:tcPr>
          <w:p w14:paraId="7B5D3026" w14:textId="77777777" w:rsidR="00771086" w:rsidRPr="00DB5740" w:rsidRDefault="00771086" w:rsidP="00771086">
            <w:pPr>
              <w:rPr>
                <w:b/>
                <w:i/>
                <w:color w:val="FF0000"/>
              </w:rPr>
            </w:pPr>
          </w:p>
        </w:tc>
        <w:tc>
          <w:tcPr>
            <w:tcW w:w="314" w:type="pct"/>
            <w:gridSpan w:val="2"/>
            <w:vAlign w:val="center"/>
          </w:tcPr>
          <w:p w14:paraId="410D2087"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2FA5B316"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1394D88C" w14:textId="77777777" w:rsidTr="00BF4090">
        <w:trPr>
          <w:cantSplit/>
          <w:jc w:val="center"/>
        </w:trPr>
        <w:tc>
          <w:tcPr>
            <w:tcW w:w="685" w:type="pct"/>
          </w:tcPr>
          <w:p w14:paraId="1D7E7EF2" w14:textId="77777777" w:rsidR="00771086" w:rsidRPr="00DB5740" w:rsidRDefault="005B5528" w:rsidP="00771086">
            <w:pPr>
              <w:rPr>
                <w:sz w:val="21"/>
                <w:szCs w:val="21"/>
              </w:rPr>
            </w:pPr>
            <w:r w:rsidRPr="00DB5740">
              <w:rPr>
                <w:sz w:val="21"/>
                <w:szCs w:val="21"/>
              </w:rPr>
              <w:lastRenderedPageBreak/>
              <w:t>State the aggregate market value of the voting and non-voting common equity held by non-a</w:t>
            </w:r>
            <w:r w:rsidRPr="00DB5740">
              <w:rPr>
                <w:sz w:val="21"/>
                <w:szCs w:val="21"/>
              </w:rPr>
              <w:t>ffiliates computed by reference to the price at which the common equity was last sold, or the average bid and asked price of such common equity, as of the last business day of the registrant</w:t>
            </w:r>
            <w:r>
              <w:rPr>
                <w:sz w:val="21"/>
                <w:szCs w:val="21"/>
              </w:rPr>
              <w:t>’</w:t>
            </w:r>
            <w:r w:rsidRPr="00DB5740">
              <w:rPr>
                <w:sz w:val="21"/>
                <w:szCs w:val="21"/>
              </w:rPr>
              <w:t>s most recently completed second fiscal quarter.</w:t>
            </w:r>
          </w:p>
        </w:tc>
        <w:tc>
          <w:tcPr>
            <w:tcW w:w="584" w:type="pct"/>
          </w:tcPr>
          <w:p w14:paraId="18D8CF27" w14:textId="77777777" w:rsidR="00771086" w:rsidRPr="00DB5740" w:rsidRDefault="005B5528" w:rsidP="00771086">
            <w:r w:rsidRPr="00DB5740">
              <w:t xml:space="preserve">Form </w:t>
            </w:r>
            <w:r>
              <w:t>10</w:t>
            </w:r>
            <w:r>
              <w:noBreakHyphen/>
              <w:t>K</w:t>
            </w:r>
          </w:p>
          <w:p w14:paraId="508FCF5A" w14:textId="77777777" w:rsidR="00771086" w:rsidRPr="00DB5740" w:rsidRDefault="005B5528" w:rsidP="00771086">
            <w:r w:rsidRPr="00DB5740">
              <w:t xml:space="preserve">Cover </w:t>
            </w:r>
            <w:r w:rsidRPr="00DB5740">
              <w:t>Page</w:t>
            </w:r>
          </w:p>
        </w:tc>
        <w:tc>
          <w:tcPr>
            <w:tcW w:w="1907" w:type="pct"/>
          </w:tcPr>
          <w:p w14:paraId="381294C6" w14:textId="77777777" w:rsidR="00771086" w:rsidRPr="00DB5740" w:rsidRDefault="005B5528" w:rsidP="00771086">
            <w:pPr>
              <w:autoSpaceDE w:val="0"/>
              <w:autoSpaceDN w:val="0"/>
              <w:adjustRightInd w:val="0"/>
              <w:spacing w:after="120"/>
            </w:pPr>
            <w:r w:rsidRPr="00DB5740">
              <w:t>Determine the aggregate market value of the voting and non-voting common equity held by non-affiliates (</w:t>
            </w:r>
            <w:r>
              <w:t>“</w:t>
            </w:r>
            <w:r w:rsidRPr="00DB5740">
              <w:t>public float</w:t>
            </w:r>
            <w:r>
              <w:t>”</w:t>
            </w:r>
            <w:r w:rsidRPr="00DB5740">
              <w:t>) as of the last business day of the company</w:t>
            </w:r>
            <w:r>
              <w:t>’</w:t>
            </w:r>
            <w:r w:rsidRPr="00DB5740">
              <w:t>s most recently completed second fiscal quarter, computed by reference to the price at w</w:t>
            </w:r>
            <w:r w:rsidRPr="00DB5740">
              <w:t>hich the common equity was l</w:t>
            </w:r>
            <w:r>
              <w:t>as</w:t>
            </w:r>
            <w:r w:rsidRPr="00DB5740">
              <w:t xml:space="preserve">t sold, or </w:t>
            </w:r>
            <w:r>
              <w:t>th</w:t>
            </w:r>
            <w:r w:rsidRPr="00DB5740">
              <w:t xml:space="preserve">e average bid and asked price of such common equity as of such date.  </w:t>
            </w:r>
            <w:r>
              <w:t>Executive o</w:t>
            </w:r>
            <w:r w:rsidRPr="00DB5740">
              <w:t xml:space="preserve">fficers and directors are affiliates.  Certain large shareholders </w:t>
            </w:r>
            <w:r>
              <w:t>may</w:t>
            </w:r>
            <w:r w:rsidRPr="00DB5740">
              <w:t xml:space="preserve"> also </w:t>
            </w:r>
            <w:r>
              <w:t xml:space="preserve">be </w:t>
            </w:r>
            <w:r w:rsidRPr="00DB5740">
              <w:t>co</w:t>
            </w:r>
            <w:r>
              <w:t>n</w:t>
            </w:r>
            <w:r w:rsidRPr="00DB5740">
              <w:t>sidered affi</w:t>
            </w:r>
            <w:r>
              <w:t>li</w:t>
            </w:r>
            <w:r w:rsidRPr="00DB5740">
              <w:t>ates.</w:t>
            </w:r>
          </w:p>
        </w:tc>
        <w:tc>
          <w:tcPr>
            <w:tcW w:w="925" w:type="pct"/>
          </w:tcPr>
          <w:p w14:paraId="3BE24B0B" w14:textId="77777777" w:rsidR="00771086" w:rsidRPr="00DB5740" w:rsidRDefault="005B5528" w:rsidP="00771086">
            <w:pPr>
              <w:autoSpaceDE w:val="0"/>
              <w:autoSpaceDN w:val="0"/>
              <w:adjustRightInd w:val="0"/>
              <w:spacing w:after="120"/>
            </w:pPr>
            <w:r w:rsidRPr="00DB5740">
              <w:t xml:space="preserve">A note in Form </w:t>
            </w:r>
            <w:r>
              <w:t>10</w:t>
            </w:r>
            <w:r>
              <w:noBreakHyphen/>
              <w:t>K</w:t>
            </w:r>
            <w:r w:rsidRPr="00DB5740">
              <w:t xml:space="preserve"> states that</w:t>
            </w:r>
            <w:r w:rsidRPr="00DB5740">
              <w:t xml:space="preserve"> </w:t>
            </w:r>
            <w:r>
              <w:t>“</w:t>
            </w:r>
            <w:r w:rsidRPr="00DB5740">
              <w:t>[i]f a determination as to whether a particular person or entity is an affiliate cannot be made without involving unreason</w:t>
            </w:r>
            <w:r>
              <w:t>a</w:t>
            </w:r>
            <w:r w:rsidRPr="00DB5740">
              <w:t>ble effort and expense, the aggregate market value o</w:t>
            </w:r>
            <w:r>
              <w:t xml:space="preserve">f </w:t>
            </w:r>
            <w:r w:rsidRPr="00DB5740">
              <w:t>the common stock held by non-affiliates may be calculated on the basis of ass</w:t>
            </w:r>
            <w:r w:rsidRPr="00DB5740">
              <w:t>umptions reasonable under the circumstances, provided that the assumptions are set forth in this [</w:t>
            </w:r>
            <w:r>
              <w:t>Fo</w:t>
            </w:r>
            <w:r w:rsidRPr="00DB5740">
              <w:t xml:space="preserve">rm </w:t>
            </w:r>
            <w:r>
              <w:t>10</w:t>
            </w:r>
            <w:r>
              <w:noBreakHyphen/>
              <w:t>K</w:t>
            </w:r>
            <w:r w:rsidRPr="00DB5740">
              <w:t>] report</w:t>
            </w:r>
            <w:r>
              <w:t>”</w:t>
            </w:r>
            <w:r w:rsidRPr="00DB5740">
              <w:t>.</w:t>
            </w:r>
          </w:p>
        </w:tc>
        <w:tc>
          <w:tcPr>
            <w:tcW w:w="585" w:type="pct"/>
            <w:vAlign w:val="center"/>
          </w:tcPr>
          <w:p w14:paraId="7365BA09" w14:textId="77777777" w:rsidR="00771086" w:rsidRPr="00DB5740" w:rsidRDefault="00771086" w:rsidP="00771086">
            <w:pPr>
              <w:rPr>
                <w:b/>
                <w:i/>
                <w:color w:val="FF0000"/>
              </w:rPr>
            </w:pPr>
          </w:p>
        </w:tc>
        <w:tc>
          <w:tcPr>
            <w:tcW w:w="314" w:type="pct"/>
            <w:gridSpan w:val="2"/>
            <w:vAlign w:val="center"/>
          </w:tcPr>
          <w:p w14:paraId="209EF1B1"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0CAAE80C"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6529ABB8" w14:textId="77777777" w:rsidTr="00BF4090">
        <w:trPr>
          <w:cantSplit/>
          <w:jc w:val="center"/>
        </w:trPr>
        <w:tc>
          <w:tcPr>
            <w:tcW w:w="685" w:type="pct"/>
          </w:tcPr>
          <w:p w14:paraId="50443193" w14:textId="77777777" w:rsidR="00771086" w:rsidRPr="00DB5740" w:rsidRDefault="005B5528" w:rsidP="00771086">
            <w:pPr>
              <w:spacing w:after="120"/>
              <w:rPr>
                <w:i/>
                <w:iCs/>
                <w:sz w:val="18"/>
                <w:szCs w:val="18"/>
              </w:rPr>
            </w:pPr>
            <w:r w:rsidRPr="00DB5740">
              <w:rPr>
                <w:i/>
                <w:iCs/>
                <w:sz w:val="18"/>
                <w:szCs w:val="18"/>
              </w:rPr>
              <w:lastRenderedPageBreak/>
              <w:t>APPLICABLE ONLY TO REGISTRANTS INVOLVED IN BANKRUPTCY</w:t>
            </w:r>
            <w:r w:rsidR="00DC286E">
              <w:rPr>
                <w:i/>
                <w:iCs/>
                <w:sz w:val="18"/>
                <w:szCs w:val="18"/>
              </w:rPr>
              <w:t xml:space="preserve"> </w:t>
            </w:r>
            <w:r w:rsidRPr="00DB5740">
              <w:rPr>
                <w:i/>
                <w:iCs/>
                <w:sz w:val="18"/>
                <w:szCs w:val="18"/>
              </w:rPr>
              <w:t>PROCEEDINGS DURING THE PRECEDING FIVE YEARS:</w:t>
            </w:r>
          </w:p>
          <w:p w14:paraId="632EAF83" w14:textId="77777777" w:rsidR="00771086" w:rsidRPr="00DB5740" w:rsidRDefault="005B5528" w:rsidP="00771086">
            <w:pPr>
              <w:rPr>
                <w:sz w:val="21"/>
                <w:szCs w:val="21"/>
              </w:rPr>
            </w:pPr>
            <w:r w:rsidRPr="00DB5740">
              <w:rPr>
                <w:sz w:val="21"/>
                <w:szCs w:val="21"/>
              </w:rPr>
              <w:t xml:space="preserve"> Indicate by check mark w</w:t>
            </w:r>
            <w:r w:rsidRPr="00DB5740">
              <w:rPr>
                <w:sz w:val="21"/>
                <w:szCs w:val="21"/>
              </w:rPr>
              <w:t>hether the registr</w:t>
            </w:r>
            <w:r>
              <w:rPr>
                <w:sz w:val="21"/>
                <w:szCs w:val="21"/>
              </w:rPr>
              <w:t>a</w:t>
            </w:r>
            <w:r w:rsidRPr="00DB5740">
              <w:rPr>
                <w:sz w:val="21"/>
                <w:szCs w:val="21"/>
              </w:rPr>
              <w:t>nt has filed al</w:t>
            </w:r>
            <w:r>
              <w:rPr>
                <w:sz w:val="21"/>
                <w:szCs w:val="21"/>
              </w:rPr>
              <w:t>l</w:t>
            </w:r>
            <w:r w:rsidRPr="00DB5740">
              <w:rPr>
                <w:sz w:val="21"/>
                <w:szCs w:val="21"/>
              </w:rPr>
              <w:t xml:space="preserve"> documents and reports required to be filed by Section 12, 13 or 15(d) of the</w:t>
            </w:r>
            <w:r>
              <w:rPr>
                <w:sz w:val="21"/>
                <w:szCs w:val="21"/>
              </w:rPr>
              <w:t xml:space="preserve"> Securities</w:t>
            </w:r>
            <w:r w:rsidRPr="00DB5740">
              <w:rPr>
                <w:sz w:val="21"/>
                <w:szCs w:val="21"/>
              </w:rPr>
              <w:t xml:space="preserve"> Exchange Act</w:t>
            </w:r>
            <w:r>
              <w:rPr>
                <w:sz w:val="21"/>
                <w:szCs w:val="21"/>
              </w:rPr>
              <w:t xml:space="preserve"> of 1934 </w:t>
            </w:r>
            <w:r w:rsidRPr="00DB5740">
              <w:rPr>
                <w:sz w:val="21"/>
                <w:szCs w:val="21"/>
              </w:rPr>
              <w:t>subsequent to the distribution of securities under a plan confirmed by a court.</w:t>
            </w:r>
          </w:p>
        </w:tc>
        <w:tc>
          <w:tcPr>
            <w:tcW w:w="584" w:type="pct"/>
          </w:tcPr>
          <w:p w14:paraId="11103000" w14:textId="77777777" w:rsidR="00771086" w:rsidRPr="00DB5740" w:rsidRDefault="005B5528" w:rsidP="00771086">
            <w:r w:rsidRPr="00DB5740">
              <w:t xml:space="preserve">Form </w:t>
            </w:r>
            <w:r>
              <w:t>10</w:t>
            </w:r>
            <w:r>
              <w:noBreakHyphen/>
              <w:t>K</w:t>
            </w:r>
          </w:p>
          <w:p w14:paraId="350E29B2" w14:textId="77777777" w:rsidR="00771086" w:rsidRPr="00DB5740" w:rsidRDefault="005B5528" w:rsidP="00771086">
            <w:r w:rsidRPr="00DB5740">
              <w:t>Cover Page</w:t>
            </w:r>
          </w:p>
        </w:tc>
        <w:tc>
          <w:tcPr>
            <w:tcW w:w="1907" w:type="pct"/>
          </w:tcPr>
          <w:p w14:paraId="7B626641" w14:textId="77777777" w:rsidR="00771086" w:rsidRPr="00DB5740" w:rsidRDefault="005B5528" w:rsidP="00771086">
            <w:pPr>
              <w:autoSpaceDE w:val="0"/>
              <w:autoSpaceDN w:val="0"/>
              <w:adjustRightInd w:val="0"/>
              <w:spacing w:after="120"/>
            </w:pPr>
            <w:r w:rsidRPr="00DB5740">
              <w:t>If applica</w:t>
            </w:r>
            <w:r w:rsidRPr="00DB5740">
              <w:t>ble, review and confirm.</w:t>
            </w:r>
          </w:p>
        </w:tc>
        <w:tc>
          <w:tcPr>
            <w:tcW w:w="925" w:type="pct"/>
          </w:tcPr>
          <w:p w14:paraId="08F9CE97" w14:textId="77777777" w:rsidR="00771086" w:rsidRPr="00DB5740" w:rsidRDefault="00771086" w:rsidP="00771086">
            <w:pPr>
              <w:autoSpaceDE w:val="0"/>
              <w:autoSpaceDN w:val="0"/>
              <w:adjustRightInd w:val="0"/>
              <w:spacing w:after="120"/>
            </w:pPr>
          </w:p>
        </w:tc>
        <w:tc>
          <w:tcPr>
            <w:tcW w:w="585" w:type="pct"/>
            <w:vAlign w:val="center"/>
          </w:tcPr>
          <w:p w14:paraId="72773DCF" w14:textId="77777777" w:rsidR="00771086" w:rsidRPr="00DB5740" w:rsidRDefault="00771086" w:rsidP="00771086">
            <w:pPr>
              <w:rPr>
                <w:b/>
                <w:i/>
                <w:color w:val="FF0000"/>
              </w:rPr>
            </w:pPr>
          </w:p>
        </w:tc>
        <w:tc>
          <w:tcPr>
            <w:tcW w:w="314" w:type="pct"/>
            <w:gridSpan w:val="2"/>
            <w:vAlign w:val="center"/>
          </w:tcPr>
          <w:p w14:paraId="638B2EED"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6D941655"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72674837" w14:textId="77777777" w:rsidTr="00BF4090">
        <w:trPr>
          <w:cantSplit/>
          <w:jc w:val="center"/>
        </w:trPr>
        <w:tc>
          <w:tcPr>
            <w:tcW w:w="685" w:type="pct"/>
          </w:tcPr>
          <w:p w14:paraId="0AADA0F7" w14:textId="77777777" w:rsidR="00771086" w:rsidRPr="00DB5740" w:rsidRDefault="005B5528" w:rsidP="00771086">
            <w:pPr>
              <w:spacing w:after="120"/>
              <w:rPr>
                <w:i/>
                <w:iCs/>
                <w:sz w:val="18"/>
                <w:szCs w:val="18"/>
              </w:rPr>
            </w:pPr>
            <w:r w:rsidRPr="00DB5740">
              <w:rPr>
                <w:i/>
                <w:iCs/>
                <w:sz w:val="18"/>
                <w:szCs w:val="18"/>
              </w:rPr>
              <w:t>(APPLICABLE ONLY TO CORPORATE REGISTRANTS)</w:t>
            </w:r>
          </w:p>
          <w:p w14:paraId="4204E585" w14:textId="77777777" w:rsidR="00771086" w:rsidRPr="00DB5740" w:rsidRDefault="005B5528" w:rsidP="00771086">
            <w:pPr>
              <w:rPr>
                <w:sz w:val="21"/>
                <w:szCs w:val="21"/>
              </w:rPr>
            </w:pPr>
            <w:r w:rsidRPr="00DB5740">
              <w:rPr>
                <w:sz w:val="21"/>
                <w:szCs w:val="21"/>
              </w:rPr>
              <w:t>Indicate the number of shares outstanding of each of the registrant</w:t>
            </w:r>
            <w:r>
              <w:rPr>
                <w:sz w:val="21"/>
                <w:szCs w:val="21"/>
              </w:rPr>
              <w:t>’</w:t>
            </w:r>
            <w:r w:rsidRPr="00DB5740">
              <w:rPr>
                <w:sz w:val="21"/>
                <w:szCs w:val="21"/>
              </w:rPr>
              <w:t>s classes of common stock, as of the latest practicable date</w:t>
            </w:r>
          </w:p>
        </w:tc>
        <w:tc>
          <w:tcPr>
            <w:tcW w:w="584" w:type="pct"/>
          </w:tcPr>
          <w:p w14:paraId="50E5E539" w14:textId="77777777" w:rsidR="00771086" w:rsidRPr="00DB5740" w:rsidRDefault="005B5528" w:rsidP="00771086">
            <w:r w:rsidRPr="00DB5740">
              <w:t xml:space="preserve">Form </w:t>
            </w:r>
            <w:r>
              <w:t>10</w:t>
            </w:r>
            <w:r>
              <w:noBreakHyphen/>
              <w:t>K</w:t>
            </w:r>
          </w:p>
          <w:p w14:paraId="1E97A79B" w14:textId="77777777" w:rsidR="00771086" w:rsidRPr="00DB5740" w:rsidRDefault="005B5528" w:rsidP="00771086">
            <w:r w:rsidRPr="00DB5740">
              <w:t>Cover Page</w:t>
            </w:r>
          </w:p>
        </w:tc>
        <w:tc>
          <w:tcPr>
            <w:tcW w:w="1907" w:type="pct"/>
          </w:tcPr>
          <w:p w14:paraId="3B05AE5D" w14:textId="77777777" w:rsidR="00771086" w:rsidRPr="00DB5740" w:rsidRDefault="005B5528" w:rsidP="00771086">
            <w:pPr>
              <w:autoSpaceDE w:val="0"/>
              <w:autoSpaceDN w:val="0"/>
              <w:adjustRightInd w:val="0"/>
              <w:spacing w:after="120"/>
            </w:pPr>
            <w:r w:rsidRPr="00DB5740">
              <w:t>Make sure the date bein</w:t>
            </w:r>
            <w:r w:rsidRPr="00DB5740">
              <w:t xml:space="preserve">g used is close to the planned filing date of the </w:t>
            </w:r>
            <w:r>
              <w:t>10</w:t>
            </w:r>
            <w:r>
              <w:noBreakHyphen/>
              <w:t>K</w:t>
            </w:r>
            <w:r w:rsidRPr="00DB5740">
              <w:t>.  The date should not be the company</w:t>
            </w:r>
            <w:r>
              <w:t>’</w:t>
            </w:r>
            <w:r w:rsidRPr="00DB5740">
              <w:t xml:space="preserve">s fiscal year end.  The date does not have to be the day prior to the filing date, but it should not be excessively prior to the filing date.  </w:t>
            </w:r>
          </w:p>
        </w:tc>
        <w:tc>
          <w:tcPr>
            <w:tcW w:w="925" w:type="pct"/>
          </w:tcPr>
          <w:p w14:paraId="63FF0372" w14:textId="77777777" w:rsidR="00771086" w:rsidRPr="00DB5740" w:rsidRDefault="00771086" w:rsidP="00771086">
            <w:pPr>
              <w:autoSpaceDE w:val="0"/>
              <w:autoSpaceDN w:val="0"/>
              <w:adjustRightInd w:val="0"/>
              <w:spacing w:after="120"/>
            </w:pPr>
          </w:p>
        </w:tc>
        <w:tc>
          <w:tcPr>
            <w:tcW w:w="585" w:type="pct"/>
            <w:vAlign w:val="center"/>
          </w:tcPr>
          <w:p w14:paraId="49340833" w14:textId="77777777" w:rsidR="00771086" w:rsidRPr="00DB5740" w:rsidRDefault="00771086" w:rsidP="00771086">
            <w:pPr>
              <w:rPr>
                <w:b/>
                <w:i/>
                <w:color w:val="FF0000"/>
              </w:rPr>
            </w:pPr>
          </w:p>
        </w:tc>
        <w:tc>
          <w:tcPr>
            <w:tcW w:w="314" w:type="pct"/>
            <w:gridSpan w:val="2"/>
            <w:vAlign w:val="center"/>
          </w:tcPr>
          <w:p w14:paraId="6C2B79EC"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5AF13411"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13D84574" w14:textId="77777777" w:rsidTr="00BF4090">
        <w:trPr>
          <w:cantSplit/>
          <w:jc w:val="center"/>
        </w:trPr>
        <w:tc>
          <w:tcPr>
            <w:tcW w:w="685" w:type="pct"/>
          </w:tcPr>
          <w:p w14:paraId="7F4A503A" w14:textId="77777777" w:rsidR="00771086" w:rsidRPr="00DB5740" w:rsidRDefault="005B5528" w:rsidP="00771086">
            <w:pPr>
              <w:rPr>
                <w:b/>
                <w:bCs/>
                <w:sz w:val="21"/>
                <w:szCs w:val="21"/>
              </w:rPr>
            </w:pPr>
            <w:r w:rsidRPr="00DB5740">
              <w:rPr>
                <w:b/>
                <w:bCs/>
                <w:sz w:val="21"/>
                <w:szCs w:val="21"/>
              </w:rPr>
              <w:lastRenderedPageBreak/>
              <w:t>DOCUM</w:t>
            </w:r>
            <w:r w:rsidRPr="00DB5740">
              <w:rPr>
                <w:b/>
                <w:bCs/>
                <w:sz w:val="21"/>
                <w:szCs w:val="21"/>
              </w:rPr>
              <w:t>ENTS INCORPORATED BY REFERENCE</w:t>
            </w:r>
          </w:p>
          <w:p w14:paraId="60F4B0C9" w14:textId="77777777" w:rsidR="00771086" w:rsidRPr="00DB5740" w:rsidRDefault="00771086" w:rsidP="00771086">
            <w:pPr>
              <w:rPr>
                <w:b/>
                <w:bCs/>
                <w:sz w:val="21"/>
                <w:szCs w:val="21"/>
              </w:rPr>
            </w:pPr>
          </w:p>
          <w:p w14:paraId="262F08A1" w14:textId="77777777" w:rsidR="00771086" w:rsidRPr="00DB5740" w:rsidRDefault="005B5528" w:rsidP="00771086">
            <w:pPr>
              <w:rPr>
                <w:sz w:val="21"/>
                <w:szCs w:val="21"/>
              </w:rPr>
            </w:pPr>
            <w:r w:rsidRPr="00DB5740">
              <w:rPr>
                <w:sz w:val="21"/>
                <w:szCs w:val="21"/>
              </w:rPr>
              <w:t xml:space="preserve">List hereunder the following documents if incorporated by reference and the Part of the Form </w:t>
            </w:r>
            <w:r>
              <w:rPr>
                <w:sz w:val="21"/>
                <w:szCs w:val="21"/>
              </w:rPr>
              <w:t>10</w:t>
            </w:r>
            <w:r>
              <w:rPr>
                <w:sz w:val="21"/>
                <w:szCs w:val="21"/>
              </w:rPr>
              <w:noBreakHyphen/>
              <w:t>K</w:t>
            </w:r>
            <w:r w:rsidRPr="00DB5740">
              <w:rPr>
                <w:sz w:val="21"/>
                <w:szCs w:val="21"/>
              </w:rPr>
              <w:t xml:space="preserve"> (e.g., Part I, Part II, etc.) into which the document is incorporated: </w:t>
            </w:r>
          </w:p>
          <w:p w14:paraId="756ADAC2" w14:textId="77777777" w:rsidR="00771086" w:rsidRPr="00DB5740" w:rsidRDefault="005B5528" w:rsidP="00771086">
            <w:pPr>
              <w:rPr>
                <w:sz w:val="21"/>
                <w:szCs w:val="21"/>
              </w:rPr>
            </w:pPr>
            <w:r w:rsidRPr="00DB5740">
              <w:rPr>
                <w:sz w:val="21"/>
                <w:szCs w:val="21"/>
              </w:rPr>
              <w:t xml:space="preserve">(1) Any annual report to security holders; </w:t>
            </w:r>
          </w:p>
          <w:p w14:paraId="1F572F40" w14:textId="77777777" w:rsidR="00771086" w:rsidRPr="00DB5740" w:rsidRDefault="005B5528" w:rsidP="00771086">
            <w:pPr>
              <w:rPr>
                <w:sz w:val="21"/>
                <w:szCs w:val="21"/>
              </w:rPr>
            </w:pPr>
            <w:r w:rsidRPr="00DB5740">
              <w:rPr>
                <w:sz w:val="21"/>
                <w:szCs w:val="21"/>
              </w:rPr>
              <w:t>(2) Any pr</w:t>
            </w:r>
            <w:r w:rsidRPr="00DB5740">
              <w:rPr>
                <w:sz w:val="21"/>
                <w:szCs w:val="21"/>
              </w:rPr>
              <w:t>oxy or information statement;</w:t>
            </w:r>
          </w:p>
          <w:p w14:paraId="6EBC7DF1" w14:textId="77777777" w:rsidR="00771086" w:rsidRPr="00DB5740" w:rsidRDefault="005B5528" w:rsidP="00771086">
            <w:pPr>
              <w:rPr>
                <w:sz w:val="21"/>
                <w:szCs w:val="21"/>
              </w:rPr>
            </w:pPr>
            <w:r w:rsidRPr="00DB5740">
              <w:rPr>
                <w:sz w:val="21"/>
                <w:szCs w:val="21"/>
              </w:rPr>
              <w:t xml:space="preserve">and </w:t>
            </w:r>
          </w:p>
          <w:p w14:paraId="503882A2" w14:textId="77777777" w:rsidR="00771086" w:rsidRPr="00DB5740" w:rsidRDefault="005B5528" w:rsidP="00771086">
            <w:pPr>
              <w:rPr>
                <w:sz w:val="21"/>
                <w:szCs w:val="21"/>
              </w:rPr>
            </w:pPr>
            <w:r w:rsidRPr="00DB5740">
              <w:rPr>
                <w:sz w:val="21"/>
                <w:szCs w:val="21"/>
              </w:rPr>
              <w:t xml:space="preserve">(3) Any prospectus filed pursuant to Rule 424(b) or (c) under the Securities Act of 1933. </w:t>
            </w:r>
          </w:p>
          <w:p w14:paraId="22F852E6" w14:textId="77777777" w:rsidR="00771086" w:rsidRPr="00DB5740" w:rsidRDefault="005B5528" w:rsidP="00771086">
            <w:pPr>
              <w:rPr>
                <w:sz w:val="21"/>
                <w:szCs w:val="21"/>
              </w:rPr>
            </w:pPr>
            <w:r w:rsidRPr="00DB5740">
              <w:rPr>
                <w:sz w:val="21"/>
                <w:szCs w:val="21"/>
              </w:rPr>
              <w:t>The listed documents should be clearly described for identification purposes (e.g., annual report to security holders for fiscal y</w:t>
            </w:r>
            <w:r w:rsidRPr="00DB5740">
              <w:rPr>
                <w:sz w:val="21"/>
                <w:szCs w:val="21"/>
              </w:rPr>
              <w:t>ear ended December 24, 1980)</w:t>
            </w:r>
          </w:p>
        </w:tc>
        <w:tc>
          <w:tcPr>
            <w:tcW w:w="584" w:type="pct"/>
          </w:tcPr>
          <w:p w14:paraId="2B91176D" w14:textId="77777777" w:rsidR="00771086" w:rsidRPr="00DB5740" w:rsidRDefault="005B5528" w:rsidP="00771086">
            <w:r w:rsidRPr="00DB5740">
              <w:t xml:space="preserve">Form </w:t>
            </w:r>
            <w:r>
              <w:t>10</w:t>
            </w:r>
            <w:r>
              <w:noBreakHyphen/>
              <w:t>K</w:t>
            </w:r>
          </w:p>
          <w:p w14:paraId="783C6A37" w14:textId="77777777" w:rsidR="00771086" w:rsidRPr="00DB5740" w:rsidRDefault="005B5528" w:rsidP="00771086">
            <w:r w:rsidRPr="00DB5740">
              <w:t>Cover Page</w:t>
            </w:r>
          </w:p>
        </w:tc>
        <w:tc>
          <w:tcPr>
            <w:tcW w:w="1907" w:type="pct"/>
          </w:tcPr>
          <w:p w14:paraId="40C3B3F8" w14:textId="77777777" w:rsidR="00771086" w:rsidRPr="00DB5740" w:rsidRDefault="005B5528" w:rsidP="00771086">
            <w:pPr>
              <w:autoSpaceDE w:val="0"/>
              <w:autoSpaceDN w:val="0"/>
              <w:adjustRightInd w:val="0"/>
              <w:spacing w:after="120"/>
            </w:pPr>
            <w:r w:rsidRPr="00DB5740">
              <w:t xml:space="preserve">If the Form </w:t>
            </w:r>
            <w:r>
              <w:t>10</w:t>
            </w:r>
            <w:r>
              <w:noBreakHyphen/>
              <w:t>K</w:t>
            </w:r>
            <w:r w:rsidRPr="00DB5740">
              <w:t xml:space="preserve"> indicates that the disclosure required by Part III (</w:t>
            </w:r>
            <w:r w:rsidRPr="00882401">
              <w:rPr>
                <w:i/>
                <w:iCs/>
              </w:rPr>
              <w:t>i.e</w:t>
            </w:r>
            <w:r w:rsidRPr="00DB5740">
              <w:t>., Items 10-14) will be incorporated by reference:</w:t>
            </w:r>
          </w:p>
          <w:p w14:paraId="2EDC11D4" w14:textId="77777777" w:rsidR="00771086" w:rsidRPr="00215BB8" w:rsidRDefault="005B5528" w:rsidP="00771086">
            <w:pPr>
              <w:numPr>
                <w:ilvl w:val="0"/>
                <w:numId w:val="18"/>
              </w:numPr>
              <w:autoSpaceDE w:val="0"/>
              <w:autoSpaceDN w:val="0"/>
              <w:adjustRightInd w:val="0"/>
              <w:spacing w:after="120"/>
              <w:ind w:left="421"/>
              <w:rPr>
                <w:i/>
                <w:iCs/>
              </w:rPr>
            </w:pPr>
            <w:r w:rsidRPr="00215BB8">
              <w:rPr>
                <w:i/>
                <w:iCs/>
              </w:rPr>
              <w:t>Confirm that no disclosure is included in the Form 10</w:t>
            </w:r>
            <w:r w:rsidRPr="00215BB8">
              <w:rPr>
                <w:i/>
                <w:iCs/>
              </w:rPr>
              <w:noBreakHyphen/>
              <w:t>K under those items (other th</w:t>
            </w:r>
            <w:r w:rsidRPr="00215BB8">
              <w:rPr>
                <w:i/>
                <w:iCs/>
              </w:rPr>
              <w:t>an references to the appropriate proxy statement captions if the company chooses to provide that level of specificity).</w:t>
            </w:r>
          </w:p>
          <w:p w14:paraId="4BA4B899" w14:textId="77777777" w:rsidR="00771086" w:rsidRPr="00215BB8" w:rsidRDefault="005B5528" w:rsidP="00771086">
            <w:pPr>
              <w:numPr>
                <w:ilvl w:val="0"/>
                <w:numId w:val="18"/>
              </w:numPr>
              <w:autoSpaceDE w:val="0"/>
              <w:autoSpaceDN w:val="0"/>
              <w:adjustRightInd w:val="0"/>
              <w:spacing w:after="120"/>
              <w:ind w:left="421"/>
              <w:rPr>
                <w:i/>
                <w:iCs/>
              </w:rPr>
            </w:pPr>
            <w:r w:rsidRPr="00215BB8">
              <w:rPr>
                <w:i/>
                <w:iCs/>
              </w:rPr>
              <w:t>Confirm that the proxy statement will be filed within 120 days after the end of the company</w:t>
            </w:r>
            <w:r>
              <w:rPr>
                <w:i/>
                <w:iCs/>
              </w:rPr>
              <w:t>’</w:t>
            </w:r>
            <w:r w:rsidRPr="00215BB8">
              <w:rPr>
                <w:i/>
                <w:iCs/>
              </w:rPr>
              <w:t xml:space="preserve">s fiscal year.*  </w:t>
            </w:r>
          </w:p>
          <w:p w14:paraId="094AA379" w14:textId="77777777" w:rsidR="00771086" w:rsidRDefault="005B5528" w:rsidP="00771086">
            <w:pPr>
              <w:numPr>
                <w:ilvl w:val="0"/>
                <w:numId w:val="18"/>
              </w:numPr>
              <w:autoSpaceDE w:val="0"/>
              <w:autoSpaceDN w:val="0"/>
              <w:adjustRightInd w:val="0"/>
              <w:spacing w:after="120"/>
              <w:ind w:left="421"/>
            </w:pPr>
            <w:r w:rsidRPr="00DB5740">
              <w:t xml:space="preserve">Note that if the Part III </w:t>
            </w:r>
            <w:r w:rsidRPr="00DB5740">
              <w:t xml:space="preserve">information is not included in the </w:t>
            </w:r>
            <w:r>
              <w:t>10</w:t>
            </w:r>
            <w:r>
              <w:noBreakHyphen/>
              <w:t>K</w:t>
            </w:r>
            <w:r w:rsidRPr="00DB5740">
              <w:t xml:space="preserve"> and the definitive proxy statement cannot be filed by April 30, the company will need to file a </w:t>
            </w:r>
            <w:r>
              <w:t>Form 10</w:t>
            </w:r>
            <w:r>
              <w:noBreakHyphen/>
              <w:t>K</w:t>
            </w:r>
            <w:r w:rsidRPr="00DB5740">
              <w:t xml:space="preserve">/A no later than </w:t>
            </w:r>
            <w:r>
              <w:t>120 days after the end of the company’s fiscal year</w:t>
            </w:r>
            <w:r w:rsidRPr="00DB5740">
              <w:t xml:space="preserve"> to </w:t>
            </w:r>
            <w:r>
              <w:t xml:space="preserve">file </w:t>
            </w:r>
            <w:r w:rsidRPr="00DB5740">
              <w:t>the Part III information.</w:t>
            </w:r>
          </w:p>
          <w:p w14:paraId="0F6DFCED" w14:textId="77777777" w:rsidR="00771086" w:rsidRPr="00882401" w:rsidRDefault="005B5528" w:rsidP="00771086">
            <w:pPr>
              <w:numPr>
                <w:ilvl w:val="0"/>
                <w:numId w:val="18"/>
              </w:numPr>
              <w:autoSpaceDE w:val="0"/>
              <w:autoSpaceDN w:val="0"/>
              <w:adjustRightInd w:val="0"/>
              <w:spacing w:after="120"/>
              <w:ind w:left="421"/>
              <w:rPr>
                <w:b/>
                <w:bCs/>
              </w:rPr>
            </w:pPr>
            <w:r w:rsidRPr="00882401">
              <w:rPr>
                <w:b/>
                <w:bCs/>
              </w:rPr>
              <w:t xml:space="preserve">Failure </w:t>
            </w:r>
            <w:r w:rsidRPr="00882401">
              <w:rPr>
                <w:b/>
                <w:bCs/>
              </w:rPr>
              <w:t>to file the definitive proxy statement or a Form 10-K/A containing the Part III information will have significant adverse consequences, including loss of Form S-3 eligibility.</w:t>
            </w:r>
          </w:p>
          <w:p w14:paraId="098CCAC5" w14:textId="77777777" w:rsidR="00771086" w:rsidRPr="00882401" w:rsidRDefault="005B5528" w:rsidP="00771086">
            <w:pPr>
              <w:numPr>
                <w:ilvl w:val="0"/>
                <w:numId w:val="18"/>
              </w:numPr>
              <w:autoSpaceDE w:val="0"/>
              <w:autoSpaceDN w:val="0"/>
              <w:adjustRightInd w:val="0"/>
              <w:spacing w:after="120"/>
              <w:ind w:left="421"/>
              <w:rPr>
                <w:b/>
                <w:bCs/>
              </w:rPr>
            </w:pPr>
            <w:r w:rsidRPr="00882401">
              <w:rPr>
                <w:b/>
                <w:bCs/>
              </w:rPr>
              <w:t>This filing deadline cannot be extended under Rule 12b-25.</w:t>
            </w:r>
          </w:p>
          <w:p w14:paraId="794BA3A8" w14:textId="77777777" w:rsidR="00771086" w:rsidRPr="00DB5740" w:rsidRDefault="005B5528" w:rsidP="00771086">
            <w:pPr>
              <w:autoSpaceDE w:val="0"/>
              <w:autoSpaceDN w:val="0"/>
              <w:adjustRightInd w:val="0"/>
              <w:spacing w:after="120"/>
            </w:pPr>
            <w:r w:rsidRPr="00DB5740">
              <w:t>*April 30 (April 29 i</w:t>
            </w:r>
            <w:r w:rsidRPr="00DB5740">
              <w:t xml:space="preserve">n leap years; </w:t>
            </w:r>
            <w:r w:rsidRPr="00DB5740">
              <w:rPr>
                <w:i/>
                <w:iCs/>
              </w:rPr>
              <w:t>e.g</w:t>
            </w:r>
            <w:r w:rsidRPr="00DB5740">
              <w:t xml:space="preserve">., 2024), subject to adjustment pursuant to </w:t>
            </w:r>
            <w:hyperlink r:id="rId55" w:anchor="240.0-3" w:history="1">
              <w:r w:rsidRPr="00DB5740">
                <w:rPr>
                  <w:rStyle w:val="Hyperlink"/>
                </w:rPr>
                <w:t>Rule 0-3</w:t>
              </w:r>
            </w:hyperlink>
            <w:r w:rsidRPr="00DB5740">
              <w:t xml:space="preserve"> if April 30 is a Saturday, Sunday or federal holiday</w:t>
            </w:r>
          </w:p>
          <w:p w14:paraId="65D257CB" w14:textId="77777777" w:rsidR="00771086" w:rsidRPr="00DB5740" w:rsidRDefault="00771086" w:rsidP="00771086">
            <w:pPr>
              <w:autoSpaceDE w:val="0"/>
              <w:autoSpaceDN w:val="0"/>
              <w:adjustRightInd w:val="0"/>
              <w:spacing w:after="120"/>
            </w:pPr>
          </w:p>
        </w:tc>
        <w:tc>
          <w:tcPr>
            <w:tcW w:w="925" w:type="pct"/>
          </w:tcPr>
          <w:p w14:paraId="517EF903" w14:textId="77777777" w:rsidR="00771086" w:rsidRPr="00DB5740" w:rsidRDefault="00771086" w:rsidP="00771086">
            <w:pPr>
              <w:autoSpaceDE w:val="0"/>
              <w:autoSpaceDN w:val="0"/>
              <w:adjustRightInd w:val="0"/>
              <w:spacing w:after="120"/>
            </w:pPr>
          </w:p>
        </w:tc>
        <w:tc>
          <w:tcPr>
            <w:tcW w:w="585" w:type="pct"/>
            <w:vAlign w:val="center"/>
          </w:tcPr>
          <w:p w14:paraId="0F23C202" w14:textId="77777777" w:rsidR="00771086" w:rsidRPr="00DB5740" w:rsidRDefault="00771086" w:rsidP="00771086">
            <w:pPr>
              <w:rPr>
                <w:b/>
                <w:i/>
                <w:color w:val="FF0000"/>
              </w:rPr>
            </w:pPr>
          </w:p>
        </w:tc>
        <w:tc>
          <w:tcPr>
            <w:tcW w:w="314" w:type="pct"/>
            <w:gridSpan w:val="2"/>
            <w:vAlign w:val="center"/>
          </w:tcPr>
          <w:p w14:paraId="69D67900"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63ECF0A1"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00CA14BA" w14:textId="77777777" w:rsidTr="00D1248D">
        <w:trPr>
          <w:cantSplit/>
          <w:jc w:val="center"/>
        </w:trPr>
        <w:tc>
          <w:tcPr>
            <w:tcW w:w="5000" w:type="pct"/>
            <w:gridSpan w:val="7"/>
          </w:tcPr>
          <w:p w14:paraId="6AED3B5F" w14:textId="77777777" w:rsidR="00771086" w:rsidRPr="00082460" w:rsidRDefault="005B5528" w:rsidP="00771086">
            <w:r w:rsidRPr="00082460">
              <w:rPr>
                <w:b/>
                <w:bCs/>
              </w:rPr>
              <w:lastRenderedPageBreak/>
              <w:t xml:space="preserve">Note regarding the Form 10-K </w:t>
            </w:r>
            <w:r w:rsidRPr="00082460">
              <w:rPr>
                <w:b/>
                <w:bCs/>
              </w:rPr>
              <w:t>cover page and auditor information disclosure and tagging requirements</w:t>
            </w:r>
          </w:p>
          <w:p w14:paraId="2A0B8940" w14:textId="77777777" w:rsidR="00771086" w:rsidRPr="00082460" w:rsidRDefault="00771086" w:rsidP="00771086"/>
          <w:p w14:paraId="179D18B8" w14:textId="77777777" w:rsidR="00771086" w:rsidRPr="00082460" w:rsidRDefault="005B5528" w:rsidP="00771086">
            <w:r w:rsidRPr="00082460">
              <w:t>As part of the final amendments adopted by the SEC to implement the HFCAA, Item 405 of Regulation S-T and the EDGAR Filer Manual require that Form 10-K reports include the auditor</w:t>
            </w:r>
            <w:r>
              <w:t>’</w:t>
            </w:r>
            <w:r w:rsidRPr="00082460">
              <w:t>s na</w:t>
            </w:r>
            <w:r w:rsidRPr="00082460">
              <w:t>me, location and PCAOB firm ID number in visible text, and require tagging of this information using interactive XBRL.  The final amendments do not require that companies include this disclosure in any specific location.  Adding this information and the re</w:t>
            </w:r>
            <w:r w:rsidRPr="00082460">
              <w:t>lated tagging to the cover page of the Form 10-K adds unnecessary text and tagging to the cover page and is therefore not the preferred location for this disclosure, although doing so would comply with the auditor information disclosure and tagging require</w:t>
            </w:r>
            <w:r w:rsidRPr="00082460">
              <w:t xml:space="preserve">ments.  Instead, </w:t>
            </w:r>
            <w:r>
              <w:t>w</w:t>
            </w:r>
            <w:r w:rsidRPr="00082460">
              <w:t xml:space="preserve">e </w:t>
            </w:r>
            <w:r>
              <w:t xml:space="preserve">suggest </w:t>
            </w:r>
            <w:r w:rsidRPr="00082460">
              <w:t xml:space="preserve">that companies consider presenting the required auditor information in Item 14 and tagging that information there as required.  Refer to Item 8, </w:t>
            </w:r>
            <w:r>
              <w:t>“</w:t>
            </w:r>
            <w:r w:rsidRPr="00082460">
              <w:t>Audit Report Interactive XBRL Tagging,</w:t>
            </w:r>
            <w:r>
              <w:t>”</w:t>
            </w:r>
            <w:r w:rsidRPr="00082460">
              <w:t xml:space="preserve"> </w:t>
            </w:r>
            <w:r w:rsidRPr="00082460">
              <w:rPr>
                <w:iCs/>
              </w:rPr>
              <w:t xml:space="preserve">Item 9C, </w:t>
            </w:r>
            <w:r>
              <w:rPr>
                <w:iCs/>
              </w:rPr>
              <w:t>“</w:t>
            </w:r>
            <w:r w:rsidRPr="00082460">
              <w:rPr>
                <w:iCs/>
              </w:rPr>
              <w:t>Disclosure Regarding Foreign Jur</w:t>
            </w:r>
            <w:r w:rsidRPr="00082460">
              <w:rPr>
                <w:iCs/>
              </w:rPr>
              <w:t>isdictions that Prevent Inspections</w:t>
            </w:r>
            <w:r>
              <w:rPr>
                <w:iCs/>
              </w:rPr>
              <w:t>”</w:t>
            </w:r>
            <w:r w:rsidRPr="00082460">
              <w:rPr>
                <w:iCs/>
              </w:rPr>
              <w:t xml:space="preserve"> </w:t>
            </w:r>
            <w:r w:rsidRPr="00082460">
              <w:t xml:space="preserve">and Item 14, </w:t>
            </w:r>
            <w:r>
              <w:t>“</w:t>
            </w:r>
            <w:r w:rsidRPr="00082460">
              <w:t>Principal Accountant Fees and Services,</w:t>
            </w:r>
            <w:r>
              <w:t>”</w:t>
            </w:r>
            <w:r w:rsidRPr="00082460">
              <w:t xml:space="preserve"> for additional information</w:t>
            </w:r>
            <w:r>
              <w:t>.</w:t>
            </w:r>
          </w:p>
        </w:tc>
      </w:tr>
      <w:tr w:rsidR="00000000" w14:paraId="3A9B7291" w14:textId="77777777" w:rsidTr="006D5F83">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F7941D"/>
          </w:tcPr>
          <w:p w14:paraId="6389DACA" w14:textId="77777777" w:rsidR="00771086" w:rsidRPr="00DB5740" w:rsidRDefault="005B5528" w:rsidP="00771086">
            <w:pPr>
              <w:keepNext/>
              <w:autoSpaceDE w:val="0"/>
              <w:autoSpaceDN w:val="0"/>
              <w:adjustRightInd w:val="0"/>
              <w:rPr>
                <w:b/>
                <w:bCs/>
                <w:caps/>
              </w:rPr>
            </w:pPr>
            <w:r w:rsidRPr="00DB5740">
              <w:rPr>
                <w:b/>
                <w:bCs/>
                <w:caps/>
              </w:rPr>
              <w:t>Part I</w:t>
            </w:r>
          </w:p>
        </w:tc>
      </w:tr>
      <w:tr w:rsidR="00000000" w14:paraId="6D63452F" w14:textId="77777777" w:rsidTr="006D5F83">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D9D9D9"/>
          </w:tcPr>
          <w:p w14:paraId="7886FB4A" w14:textId="77777777" w:rsidR="00771086" w:rsidRPr="00DB5740" w:rsidRDefault="005B5528" w:rsidP="00771086">
            <w:pPr>
              <w:spacing w:after="120"/>
              <w:rPr>
                <w:b/>
                <w:bCs/>
              </w:rPr>
            </w:pPr>
            <w:r w:rsidRPr="00DB5740">
              <w:rPr>
                <w:b/>
                <w:bCs/>
              </w:rPr>
              <w:t>Trending Disclosure Topics –</w:t>
            </w:r>
            <w:r>
              <w:rPr>
                <w:b/>
                <w:bCs/>
              </w:rPr>
              <w:t xml:space="preserve"> p</w:t>
            </w:r>
            <w:r w:rsidRPr="00DB5740">
              <w:rPr>
                <w:b/>
                <w:bCs/>
              </w:rPr>
              <w:t>otentiall</w:t>
            </w:r>
            <w:r>
              <w:rPr>
                <w:b/>
                <w:bCs/>
              </w:rPr>
              <w:t>y</w:t>
            </w:r>
            <w:r w:rsidRPr="00DB5740">
              <w:rPr>
                <w:b/>
                <w:bCs/>
              </w:rPr>
              <w:t xml:space="preserve"> applicable throughout the Form </w:t>
            </w:r>
            <w:r>
              <w:rPr>
                <w:b/>
                <w:bCs/>
              </w:rPr>
              <w:t>10</w:t>
            </w:r>
            <w:r>
              <w:rPr>
                <w:b/>
                <w:bCs/>
              </w:rPr>
              <w:noBreakHyphen/>
              <w:t>K</w:t>
            </w:r>
            <w:r w:rsidRPr="00DB5740">
              <w:rPr>
                <w:b/>
                <w:bCs/>
              </w:rPr>
              <w:t xml:space="preserve"> (Business; Risk Factors; Forwa</w:t>
            </w:r>
            <w:r>
              <w:rPr>
                <w:b/>
                <w:bCs/>
              </w:rPr>
              <w:t>r</w:t>
            </w:r>
            <w:r w:rsidRPr="00DB5740">
              <w:rPr>
                <w:b/>
                <w:bCs/>
              </w:rPr>
              <w:t>d-Looking Stat</w:t>
            </w:r>
            <w:r>
              <w:rPr>
                <w:b/>
                <w:bCs/>
              </w:rPr>
              <w:t>e</w:t>
            </w:r>
            <w:r w:rsidRPr="00DB5740">
              <w:rPr>
                <w:b/>
                <w:bCs/>
              </w:rPr>
              <w:t>ment</w:t>
            </w:r>
            <w:r w:rsidRPr="00DB5740">
              <w:rPr>
                <w:b/>
                <w:bCs/>
              </w:rPr>
              <w:t xml:space="preserve"> Disclaimer; MD&amp;A; Financial Statem</w:t>
            </w:r>
            <w:r>
              <w:rPr>
                <w:b/>
                <w:bCs/>
              </w:rPr>
              <w:t>e</w:t>
            </w:r>
            <w:r w:rsidRPr="00DB5740">
              <w:rPr>
                <w:b/>
                <w:bCs/>
              </w:rPr>
              <w:t>nt Footnotes, and other disclosure)</w:t>
            </w:r>
          </w:p>
        </w:tc>
      </w:tr>
      <w:tr w:rsidR="00000000" w14:paraId="1AB6515C" w14:textId="77777777" w:rsidTr="00DB5740">
        <w:trPr>
          <w:cantSplit/>
          <w:jc w:val="center"/>
        </w:trPr>
        <w:tc>
          <w:tcPr>
            <w:tcW w:w="5000" w:type="pct"/>
            <w:gridSpan w:val="7"/>
            <w:tcBorders>
              <w:top w:val="single" w:sz="24" w:space="0" w:color="auto"/>
              <w:left w:val="single" w:sz="4" w:space="0" w:color="auto"/>
              <w:bottom w:val="single" w:sz="8" w:space="0" w:color="auto"/>
            </w:tcBorders>
          </w:tcPr>
          <w:p w14:paraId="14620D4B" w14:textId="77777777" w:rsidR="00771086" w:rsidRDefault="005B5528" w:rsidP="00771086">
            <w:pPr>
              <w:spacing w:after="120"/>
              <w:rPr>
                <w:rFonts w:cs="Calibri"/>
                <w:b/>
                <w:bCs/>
              </w:rPr>
            </w:pPr>
            <w:r>
              <w:rPr>
                <w:rFonts w:cs="Calibri"/>
                <w:b/>
                <w:bCs/>
              </w:rPr>
              <w:t xml:space="preserve">Interest Rates, Inflation and Related Matters </w:t>
            </w:r>
          </w:p>
          <w:p w14:paraId="10A4BB68" w14:textId="77777777" w:rsidR="00771086" w:rsidRPr="00082460" w:rsidRDefault="005B5528" w:rsidP="00771086">
            <w:pPr>
              <w:spacing w:after="120"/>
              <w:rPr>
                <w:rFonts w:cs="Calibri"/>
              </w:rPr>
            </w:pPr>
            <w:r>
              <w:rPr>
                <w:rFonts w:cs="Calibri"/>
              </w:rPr>
              <w:t xml:space="preserve">During 2023, interest and inflation rates have increased significantly relative to recent years, although the impacts have been felt to </w:t>
            </w:r>
            <w:r>
              <w:rPr>
                <w:rFonts w:cs="Calibri"/>
              </w:rPr>
              <w:t>different extents in different industries.  While the express requirement to discuss the impact of inflation and price changes was eliminated by amendments to Item 303 of Regulation S-K in 2020 that became effective during 2021, disclosure may still be req</w:t>
            </w:r>
            <w:r>
              <w:rPr>
                <w:rFonts w:cs="Calibri"/>
              </w:rPr>
              <w:t>uired in MD&amp;A if inflation or changing prices have had a material impact on the company or are a known trend or uncertainty that is reasonably expected to have a material impact on the company.  The same disclosure considerations apply to changes in intere</w:t>
            </w:r>
            <w:r>
              <w:rPr>
                <w:rFonts w:cs="Calibri"/>
              </w:rPr>
              <w:t>st rates, which may affect companies differently depending on a company’s business.  Other disclosure sections that may require review and revision include Risk Factors and the forward-looking statement disclaimer.</w:t>
            </w:r>
          </w:p>
        </w:tc>
      </w:tr>
      <w:tr w:rsidR="00000000" w14:paraId="7EF2D8D0" w14:textId="77777777" w:rsidTr="00DB5740">
        <w:trPr>
          <w:cantSplit/>
          <w:jc w:val="center"/>
        </w:trPr>
        <w:tc>
          <w:tcPr>
            <w:tcW w:w="5000" w:type="pct"/>
            <w:gridSpan w:val="7"/>
            <w:tcBorders>
              <w:top w:val="single" w:sz="24" w:space="0" w:color="auto"/>
              <w:left w:val="single" w:sz="4" w:space="0" w:color="auto"/>
              <w:bottom w:val="single" w:sz="8" w:space="0" w:color="auto"/>
            </w:tcBorders>
          </w:tcPr>
          <w:p w14:paraId="5F5C0253" w14:textId="77777777" w:rsidR="00771086" w:rsidRPr="00DB5740" w:rsidRDefault="005B5528" w:rsidP="00771086">
            <w:pPr>
              <w:spacing w:after="120"/>
              <w:rPr>
                <w:rFonts w:cs="Calibri"/>
              </w:rPr>
            </w:pPr>
            <w:r w:rsidRPr="00DB5740">
              <w:rPr>
                <w:rFonts w:cs="Calibri"/>
                <w:b/>
                <w:bCs/>
              </w:rPr>
              <w:t>COVID-19</w:t>
            </w:r>
          </w:p>
          <w:p w14:paraId="67D20410" w14:textId="77777777" w:rsidR="00771086" w:rsidRPr="00DB5740" w:rsidRDefault="005B5528" w:rsidP="00771086">
            <w:pPr>
              <w:spacing w:after="120"/>
            </w:pPr>
            <w:r w:rsidRPr="00DB5740">
              <w:rPr>
                <w:rFonts w:cs="Calibri"/>
              </w:rPr>
              <w:t xml:space="preserve">Make sure COVID-19 disclosures </w:t>
            </w:r>
            <w:r w:rsidRPr="00DB5740">
              <w:rPr>
                <w:rFonts w:cs="Calibri"/>
              </w:rPr>
              <w:t xml:space="preserve">speak as of the date of filing of the </w:t>
            </w:r>
            <w:r>
              <w:rPr>
                <w:rFonts w:cs="Calibri"/>
              </w:rPr>
              <w:t>10</w:t>
            </w:r>
            <w:r>
              <w:rPr>
                <w:rFonts w:cs="Calibri"/>
              </w:rPr>
              <w:noBreakHyphen/>
              <w:t>K</w:t>
            </w:r>
            <w:r w:rsidRPr="00DB5740">
              <w:rPr>
                <w:rFonts w:cs="Calibri"/>
              </w:rPr>
              <w:t>.  In particular, review disclosure carried forward from earlier reports for current accuracy.  Disclosure topics</w:t>
            </w:r>
            <w:r w:rsidRPr="00DB5740">
              <w:rPr>
                <w:rFonts w:cs="Calibri"/>
                <w:b/>
                <w:bCs/>
              </w:rPr>
              <w:t xml:space="preserve"> </w:t>
            </w:r>
            <w:r w:rsidRPr="00DB5740">
              <w:rPr>
                <w:rFonts w:cs="Calibri"/>
              </w:rPr>
              <w:t>for potential inclusion include, among others: (i) discussion of changes in state and local governme</w:t>
            </w:r>
            <w:r w:rsidRPr="00DB5740">
              <w:rPr>
                <w:rFonts w:cs="Calibri"/>
              </w:rPr>
              <w:t>ntal responses; (ii) vaccination rates and vaccination mandates; (iii) impact of the Omicron variant; (iv) the company</w:t>
            </w:r>
            <w:r>
              <w:rPr>
                <w:rFonts w:cs="Calibri"/>
              </w:rPr>
              <w:t>’</w:t>
            </w:r>
            <w:r w:rsidRPr="00DB5740">
              <w:rPr>
                <w:rFonts w:cs="Calibri"/>
              </w:rPr>
              <w:t>s current responses to COVID-19; and (v) continuing and potential future impacts such as supply chain/distribution constraints and potent</w:t>
            </w:r>
            <w:r w:rsidRPr="00DB5740">
              <w:rPr>
                <w:rFonts w:cs="Calibri"/>
              </w:rPr>
              <w:t>ial shutdowns</w:t>
            </w:r>
            <w:bookmarkStart w:id="29" w:name="_Hlk81408882"/>
            <w:r w:rsidRPr="00DB5740">
              <w:rPr>
                <w:rFonts w:cs="Calibri"/>
              </w:rPr>
              <w:t>, among others.</w:t>
            </w:r>
            <w:bookmarkEnd w:id="29"/>
          </w:p>
        </w:tc>
      </w:tr>
      <w:tr w:rsidR="00000000" w14:paraId="37CB5A2D" w14:textId="77777777" w:rsidTr="00DB5740">
        <w:trPr>
          <w:cantSplit/>
          <w:jc w:val="center"/>
        </w:trPr>
        <w:tc>
          <w:tcPr>
            <w:tcW w:w="5000" w:type="pct"/>
            <w:gridSpan w:val="7"/>
            <w:tcBorders>
              <w:top w:val="single" w:sz="8" w:space="0" w:color="auto"/>
              <w:left w:val="single" w:sz="4" w:space="0" w:color="auto"/>
              <w:bottom w:val="single" w:sz="8" w:space="0" w:color="auto"/>
              <w:right w:val="single" w:sz="4" w:space="0" w:color="auto"/>
            </w:tcBorders>
          </w:tcPr>
          <w:p w14:paraId="45749F32" w14:textId="77777777" w:rsidR="00771086" w:rsidRPr="00DB5740" w:rsidRDefault="005B5528" w:rsidP="00771086">
            <w:pPr>
              <w:spacing w:after="120"/>
              <w:rPr>
                <w:rFonts w:cs="Calibri"/>
              </w:rPr>
            </w:pPr>
            <w:r w:rsidRPr="00DB5740">
              <w:rPr>
                <w:rFonts w:cs="Calibri"/>
                <w:b/>
                <w:bCs/>
              </w:rPr>
              <w:lastRenderedPageBreak/>
              <w:t>Environmental, Social &amp; Governance (ESG) Matters</w:t>
            </w:r>
          </w:p>
          <w:p w14:paraId="260C0FEA" w14:textId="77777777" w:rsidR="00771086" w:rsidRPr="00DB5740" w:rsidRDefault="005B5528" w:rsidP="00771086">
            <w:pPr>
              <w:spacing w:after="120"/>
            </w:pPr>
            <w:r w:rsidRPr="00DB5740">
              <w:rPr>
                <w:rFonts w:cs="Calibri"/>
              </w:rPr>
              <w:t>ESG disclosures are often taken from the company</w:t>
            </w:r>
            <w:r>
              <w:rPr>
                <w:rFonts w:cs="Calibri"/>
              </w:rPr>
              <w:t>’</w:t>
            </w:r>
            <w:r w:rsidRPr="00DB5740">
              <w:rPr>
                <w:rFonts w:cs="Calibri"/>
              </w:rPr>
              <w:t xml:space="preserve">s ESG and sustainability reports that tend to be driven more by marketing </w:t>
            </w:r>
            <w:r>
              <w:rPr>
                <w:rFonts w:cs="Calibri"/>
              </w:rPr>
              <w:t xml:space="preserve">or investor relations considerations </w:t>
            </w:r>
            <w:r w:rsidRPr="00DB5740">
              <w:rPr>
                <w:rFonts w:cs="Calibri"/>
              </w:rPr>
              <w:t>than legal or fin</w:t>
            </w:r>
            <w:r w:rsidRPr="00DB5740">
              <w:rPr>
                <w:rFonts w:cs="Calibri"/>
              </w:rPr>
              <w:t xml:space="preserve">ancial considerations.  It is very important to make sure that the ESG disclosures in the Form </w:t>
            </w:r>
            <w:r>
              <w:rPr>
                <w:rFonts w:cs="Calibri"/>
              </w:rPr>
              <w:t>10</w:t>
            </w:r>
            <w:r>
              <w:rPr>
                <w:rFonts w:cs="Calibri"/>
              </w:rPr>
              <w:noBreakHyphen/>
              <w:t>K</w:t>
            </w:r>
            <w:r w:rsidRPr="00DB5740">
              <w:rPr>
                <w:rFonts w:cs="Calibri"/>
              </w:rPr>
              <w:t xml:space="preserve"> are appropriate, and appropriately worded, for an SEC filing.  This may cause the company </w:t>
            </w:r>
            <w:r>
              <w:rPr>
                <w:rFonts w:cs="Calibri"/>
              </w:rPr>
              <w:t xml:space="preserve">to </w:t>
            </w:r>
            <w:r w:rsidRPr="00DB5740">
              <w:rPr>
                <w:rFonts w:cs="Calibri"/>
              </w:rPr>
              <w:t>revise or eliminate certain phrases or sentences so they are mo</w:t>
            </w:r>
            <w:r w:rsidRPr="00DB5740">
              <w:rPr>
                <w:rFonts w:cs="Calibri"/>
              </w:rPr>
              <w:t>re aspirational in nature and/or backed up by reliably attributable data.  The SEC has been particularly focused on climate change, and on September 22, 2021, the Staff of the Division of Corporation Finance published a </w:t>
            </w:r>
            <w:hyperlink r:id="rId56" w:history="1">
              <w:r w:rsidRPr="00DB5740">
                <w:rPr>
                  <w:rStyle w:val="Hyperlink"/>
                  <w:rFonts w:cs="Calibri"/>
                </w:rPr>
                <w:t>sample comme</w:t>
              </w:r>
              <w:bookmarkStart w:id="30" w:name="_Hlt93998966"/>
              <w:bookmarkStart w:id="31" w:name="_Hlt93998967"/>
              <w:r w:rsidRPr="00DB5740">
                <w:rPr>
                  <w:rStyle w:val="Hyperlink"/>
                  <w:rFonts w:cs="Calibri"/>
                </w:rPr>
                <w:t>n</w:t>
              </w:r>
              <w:bookmarkEnd w:id="30"/>
              <w:bookmarkEnd w:id="31"/>
              <w:r w:rsidRPr="00DB5740">
                <w:rPr>
                  <w:rStyle w:val="Hyperlink"/>
                  <w:rFonts w:cs="Calibri"/>
                </w:rPr>
                <w:t>t letter</w:t>
              </w:r>
            </w:hyperlink>
            <w:r w:rsidRPr="00DB5740">
              <w:rPr>
                <w:rFonts w:cs="Calibri"/>
              </w:rPr>
              <w:t xml:space="preserve"> on climate change disclosures that you may want to consider in reviewing the </w:t>
            </w:r>
            <w:r>
              <w:rPr>
                <w:rFonts w:cs="Calibri"/>
              </w:rPr>
              <w:t>10</w:t>
            </w:r>
            <w:r>
              <w:rPr>
                <w:rFonts w:cs="Calibri"/>
              </w:rPr>
              <w:noBreakHyphen/>
              <w:t>K</w:t>
            </w:r>
            <w:r w:rsidRPr="00DB5740">
              <w:rPr>
                <w:rFonts w:cs="Calibri"/>
              </w:rPr>
              <w:t>.</w:t>
            </w:r>
          </w:p>
        </w:tc>
      </w:tr>
      <w:tr w:rsidR="00000000" w14:paraId="32B73EE7" w14:textId="77777777" w:rsidTr="00DB5740">
        <w:trPr>
          <w:cantSplit/>
          <w:jc w:val="center"/>
        </w:trPr>
        <w:tc>
          <w:tcPr>
            <w:tcW w:w="5000" w:type="pct"/>
            <w:gridSpan w:val="7"/>
            <w:tcBorders>
              <w:top w:val="single" w:sz="8" w:space="0" w:color="auto"/>
              <w:left w:val="single" w:sz="4" w:space="0" w:color="auto"/>
              <w:bottom w:val="single" w:sz="8" w:space="0" w:color="auto"/>
              <w:right w:val="single" w:sz="4" w:space="0" w:color="auto"/>
            </w:tcBorders>
          </w:tcPr>
          <w:p w14:paraId="0F4F45D8" w14:textId="77777777" w:rsidR="00771086" w:rsidRPr="00DB5740" w:rsidRDefault="005B5528" w:rsidP="00771086">
            <w:pPr>
              <w:spacing w:after="120"/>
              <w:rPr>
                <w:rFonts w:cs="Calibri"/>
              </w:rPr>
            </w:pPr>
            <w:r w:rsidRPr="00DB5740">
              <w:rPr>
                <w:rFonts w:cs="Calibri"/>
                <w:b/>
                <w:bCs/>
              </w:rPr>
              <w:t>Human Capital Disclosure</w:t>
            </w:r>
          </w:p>
          <w:p w14:paraId="6F372C9C" w14:textId="77777777" w:rsidR="00771086" w:rsidRPr="00DB5740" w:rsidRDefault="005B5528" w:rsidP="00771086">
            <w:pPr>
              <w:spacing w:after="120"/>
            </w:pPr>
            <w:r>
              <w:rPr>
                <w:rFonts w:cs="Calibri"/>
              </w:rPr>
              <w:t>Ensure</w:t>
            </w:r>
            <w:r w:rsidRPr="00DB5740">
              <w:rPr>
                <w:rFonts w:cs="Calibri"/>
              </w:rPr>
              <w:t xml:space="preserve"> the Business section of the </w:t>
            </w:r>
            <w:r w:rsidRPr="00DB5740">
              <w:rPr>
                <w:rFonts w:cs="Calibri"/>
              </w:rPr>
              <w:t xml:space="preserve">Form </w:t>
            </w:r>
            <w:r>
              <w:rPr>
                <w:rFonts w:cs="Calibri"/>
              </w:rPr>
              <w:t>10</w:t>
            </w:r>
            <w:r>
              <w:rPr>
                <w:rFonts w:cs="Calibri"/>
              </w:rPr>
              <w:noBreakHyphen/>
              <w:t>K</w:t>
            </w:r>
            <w:r w:rsidRPr="00DB5740">
              <w:rPr>
                <w:rFonts w:cs="Calibri"/>
              </w:rPr>
              <w:t xml:space="preserve"> </w:t>
            </w:r>
            <w:r>
              <w:rPr>
                <w:rFonts w:cs="Calibri"/>
              </w:rPr>
              <w:t>contains</w:t>
            </w:r>
            <w:r w:rsidRPr="00DB5740">
              <w:rPr>
                <w:rFonts w:cs="Calibri"/>
              </w:rPr>
              <w:t xml:space="preserve"> disclosure regarding human capital resources that is responsive to the requirements of Item 101(c)(2)(ii) of Regulation S-K.</w:t>
            </w:r>
            <w:bookmarkStart w:id="32" w:name="_Hlk79570341"/>
            <w:r w:rsidRPr="00DB5740">
              <w:rPr>
                <w:rFonts w:cs="Calibri"/>
              </w:rPr>
              <w:t xml:space="preserve">  SEC comment letters indicate that the SEC Staff is checking to see if this disclosure appears in required filin</w:t>
            </w:r>
            <w:r w:rsidRPr="00DB5740">
              <w:rPr>
                <w:rFonts w:cs="Calibri"/>
              </w:rPr>
              <w:t xml:space="preserve">gs.  It is recommended that the company include a subheading in the Business section titled </w:t>
            </w:r>
            <w:r>
              <w:rPr>
                <w:rFonts w:cs="Calibri"/>
              </w:rPr>
              <w:t>“</w:t>
            </w:r>
            <w:r w:rsidRPr="00DB5740">
              <w:rPr>
                <w:rFonts w:cs="Calibri"/>
              </w:rPr>
              <w:t>Human Capital,</w:t>
            </w:r>
            <w:r>
              <w:rPr>
                <w:rFonts w:cs="Calibri"/>
              </w:rPr>
              <w:t>”</w:t>
            </w:r>
            <w:r w:rsidRPr="00DB5740">
              <w:rPr>
                <w:rFonts w:cs="Calibri"/>
              </w:rPr>
              <w:t xml:space="preserve"> </w:t>
            </w:r>
            <w:r>
              <w:rPr>
                <w:rFonts w:cs="Calibri"/>
              </w:rPr>
              <w:t>“</w:t>
            </w:r>
            <w:r w:rsidRPr="00DB5740">
              <w:rPr>
                <w:rFonts w:cs="Calibri"/>
              </w:rPr>
              <w:t>Human Capital Resources,</w:t>
            </w:r>
            <w:r>
              <w:rPr>
                <w:rFonts w:cs="Calibri"/>
              </w:rPr>
              <w:t>”</w:t>
            </w:r>
            <w:r w:rsidRPr="00DB5740">
              <w:rPr>
                <w:rFonts w:cs="Calibri"/>
              </w:rPr>
              <w:t xml:space="preserve"> or something similar.  Previous disclosure that referred to employees or including </w:t>
            </w:r>
            <w:r>
              <w:rPr>
                <w:rFonts w:cs="Calibri"/>
              </w:rPr>
              <w:t>“</w:t>
            </w:r>
            <w:r w:rsidRPr="00DB5740">
              <w:rPr>
                <w:rFonts w:cs="Calibri"/>
              </w:rPr>
              <w:t>Employees</w:t>
            </w:r>
            <w:r>
              <w:rPr>
                <w:rFonts w:cs="Calibri"/>
              </w:rPr>
              <w:t>”</w:t>
            </w:r>
            <w:r w:rsidRPr="00DB5740">
              <w:rPr>
                <w:rFonts w:cs="Calibri"/>
              </w:rPr>
              <w:t xml:space="preserve"> as a subheading should be</w:t>
            </w:r>
            <w:r w:rsidRPr="00DB5740">
              <w:rPr>
                <w:rFonts w:cs="Calibri"/>
              </w:rPr>
              <w:t xml:space="preserve"> reviewed and changed to </w:t>
            </w:r>
            <w:r>
              <w:rPr>
                <w:rFonts w:cs="Calibri"/>
              </w:rPr>
              <w:t>“</w:t>
            </w:r>
            <w:r w:rsidRPr="00DB5740">
              <w:rPr>
                <w:rFonts w:cs="Calibri"/>
              </w:rPr>
              <w:t>Human Capital</w:t>
            </w:r>
            <w:r>
              <w:rPr>
                <w:rFonts w:cs="Calibri"/>
              </w:rPr>
              <w:t>”</w:t>
            </w:r>
            <w:r w:rsidRPr="00DB5740">
              <w:rPr>
                <w:rFonts w:cs="Calibri"/>
              </w:rPr>
              <w:t xml:space="preserve"> as appro</w:t>
            </w:r>
            <w:r>
              <w:rPr>
                <w:rFonts w:cs="Calibri"/>
              </w:rPr>
              <w:t>pr</w:t>
            </w:r>
            <w:r w:rsidRPr="00DB5740">
              <w:rPr>
                <w:rFonts w:cs="Calibri"/>
              </w:rPr>
              <w:t>iate.</w:t>
            </w:r>
            <w:bookmarkEnd w:id="32"/>
          </w:p>
        </w:tc>
      </w:tr>
      <w:tr w:rsidR="00000000" w14:paraId="67FA24C2" w14:textId="77777777" w:rsidTr="00DB5740">
        <w:trPr>
          <w:cantSplit/>
          <w:jc w:val="center"/>
        </w:trPr>
        <w:tc>
          <w:tcPr>
            <w:tcW w:w="5000" w:type="pct"/>
            <w:gridSpan w:val="7"/>
            <w:tcBorders>
              <w:top w:val="single" w:sz="8" w:space="0" w:color="auto"/>
              <w:left w:val="single" w:sz="4" w:space="0" w:color="auto"/>
              <w:bottom w:val="single" w:sz="8" w:space="0" w:color="auto"/>
              <w:right w:val="single" w:sz="4" w:space="0" w:color="auto"/>
            </w:tcBorders>
          </w:tcPr>
          <w:p w14:paraId="3AF502DA" w14:textId="77777777" w:rsidR="00771086" w:rsidRPr="00DB5740" w:rsidRDefault="005B5528" w:rsidP="00771086">
            <w:pPr>
              <w:spacing w:after="120"/>
              <w:rPr>
                <w:rFonts w:cs="Calibri"/>
              </w:rPr>
            </w:pPr>
            <w:r w:rsidRPr="00DB5740">
              <w:rPr>
                <w:rFonts w:cs="Calibri"/>
                <w:b/>
                <w:bCs/>
              </w:rPr>
              <w:t>Cyber</w:t>
            </w:r>
            <w:r>
              <w:rPr>
                <w:rFonts w:cs="Calibri"/>
                <w:b/>
                <w:bCs/>
              </w:rPr>
              <w:t>secur</w:t>
            </w:r>
            <w:r w:rsidRPr="00DB5740">
              <w:rPr>
                <w:rFonts w:cs="Calibri"/>
                <w:b/>
                <w:bCs/>
              </w:rPr>
              <w:t>ity</w:t>
            </w:r>
          </w:p>
          <w:p w14:paraId="647B445A" w14:textId="77777777" w:rsidR="00771086" w:rsidRPr="00DB5740" w:rsidRDefault="005B5528" w:rsidP="00771086">
            <w:pPr>
              <w:spacing w:after="120"/>
              <w:rPr>
                <w:rFonts w:cs="Calibri"/>
                <w:b/>
                <w:bCs/>
              </w:rPr>
            </w:pPr>
            <w:r w:rsidRPr="00DB5740">
              <w:rPr>
                <w:rFonts w:cs="Calibri"/>
              </w:rPr>
              <w:t xml:space="preserve">At a minimum, most </w:t>
            </w:r>
            <w:r>
              <w:rPr>
                <w:rFonts w:cs="Calibri"/>
              </w:rPr>
              <w:t>co</w:t>
            </w:r>
            <w:r w:rsidRPr="00DB5740">
              <w:rPr>
                <w:rFonts w:cs="Calibri"/>
              </w:rPr>
              <w:t>mpanies will appropriately include company- and business-specific risk factors.  Co</w:t>
            </w:r>
            <w:r>
              <w:rPr>
                <w:rFonts w:cs="Calibri"/>
              </w:rPr>
              <w:t>mp</w:t>
            </w:r>
            <w:r w:rsidRPr="00DB5740">
              <w:rPr>
                <w:rFonts w:cs="Calibri"/>
              </w:rPr>
              <w:t>anies th</w:t>
            </w:r>
            <w:r>
              <w:rPr>
                <w:rFonts w:cs="Calibri"/>
              </w:rPr>
              <w:t>at</w:t>
            </w:r>
            <w:r w:rsidRPr="00DB5740">
              <w:rPr>
                <w:rFonts w:cs="Calibri"/>
              </w:rPr>
              <w:t xml:space="preserve"> have experienced one or more cyber breaches or in</w:t>
            </w:r>
            <w:r>
              <w:rPr>
                <w:rFonts w:cs="Calibri"/>
              </w:rPr>
              <w:t>ci</w:t>
            </w:r>
            <w:r w:rsidRPr="00DB5740">
              <w:rPr>
                <w:rFonts w:cs="Calibri"/>
              </w:rPr>
              <w:t>dents may ne</w:t>
            </w:r>
            <w:r>
              <w:rPr>
                <w:rFonts w:cs="Calibri"/>
              </w:rPr>
              <w:t>ed</w:t>
            </w:r>
            <w:r w:rsidRPr="00DB5740">
              <w:rPr>
                <w:rFonts w:cs="Calibri"/>
              </w:rPr>
              <w:t xml:space="preserve"> t</w:t>
            </w:r>
            <w:r w:rsidRPr="00DB5740">
              <w:rPr>
                <w:rFonts w:cs="Calibri"/>
              </w:rPr>
              <w:t>o disclose these breach</w:t>
            </w:r>
            <w:r>
              <w:rPr>
                <w:rFonts w:cs="Calibri"/>
              </w:rPr>
              <w:t>es o</w:t>
            </w:r>
            <w:r w:rsidRPr="00DB5740">
              <w:rPr>
                <w:rFonts w:cs="Calibri"/>
              </w:rPr>
              <w:t>r incidents.  If the co</w:t>
            </w:r>
            <w:r>
              <w:rPr>
                <w:rFonts w:cs="Calibri"/>
              </w:rPr>
              <w:t>mp</w:t>
            </w:r>
            <w:r w:rsidRPr="00DB5740">
              <w:rPr>
                <w:rFonts w:cs="Calibri"/>
              </w:rPr>
              <w:t xml:space="preserve">any has experienced a </w:t>
            </w:r>
            <w:r>
              <w:rPr>
                <w:rFonts w:cs="Calibri"/>
              </w:rPr>
              <w:t xml:space="preserve">material </w:t>
            </w:r>
            <w:r w:rsidRPr="00DB5740">
              <w:rPr>
                <w:rFonts w:cs="Calibri"/>
              </w:rPr>
              <w:t>cyber breach or incident, the risk factors and forwa</w:t>
            </w:r>
            <w:r>
              <w:rPr>
                <w:rFonts w:cs="Calibri"/>
              </w:rPr>
              <w:t>rd</w:t>
            </w:r>
            <w:r w:rsidRPr="00DB5740">
              <w:rPr>
                <w:rFonts w:cs="Calibri"/>
              </w:rPr>
              <w:t>-looking</w:t>
            </w:r>
            <w:r>
              <w:rPr>
                <w:rFonts w:cs="Calibri"/>
              </w:rPr>
              <w:t xml:space="preserve"> s</w:t>
            </w:r>
            <w:r w:rsidRPr="00DB5740">
              <w:rPr>
                <w:rFonts w:cs="Calibri"/>
              </w:rPr>
              <w:t>tatement disclaimer should be reviewed carefully t</w:t>
            </w:r>
            <w:r>
              <w:rPr>
                <w:rFonts w:cs="Calibri"/>
              </w:rPr>
              <w:t xml:space="preserve">o </w:t>
            </w:r>
            <w:r w:rsidRPr="00DB5740">
              <w:rPr>
                <w:rFonts w:cs="Calibri"/>
              </w:rPr>
              <w:t>determine whe</w:t>
            </w:r>
            <w:r>
              <w:rPr>
                <w:rFonts w:cs="Calibri"/>
              </w:rPr>
              <w:t>t</w:t>
            </w:r>
            <w:r w:rsidRPr="00DB5740">
              <w:rPr>
                <w:rFonts w:cs="Calibri"/>
              </w:rPr>
              <w:t xml:space="preserve">her the actual occurrence </w:t>
            </w:r>
            <w:r>
              <w:rPr>
                <w:rFonts w:cs="Calibri"/>
              </w:rPr>
              <w:t xml:space="preserve">of </w:t>
            </w:r>
            <w:r w:rsidRPr="00DB5740">
              <w:rPr>
                <w:rFonts w:cs="Calibri"/>
              </w:rPr>
              <w:t xml:space="preserve">such breaches </w:t>
            </w:r>
            <w:r w:rsidRPr="00DB5740">
              <w:rPr>
                <w:rFonts w:cs="Calibri"/>
              </w:rPr>
              <w:t xml:space="preserve">or </w:t>
            </w:r>
            <w:r>
              <w:rPr>
                <w:rFonts w:cs="Calibri"/>
              </w:rPr>
              <w:t>incidents</w:t>
            </w:r>
            <w:r w:rsidRPr="00DB5740">
              <w:rPr>
                <w:rFonts w:cs="Calibri"/>
              </w:rPr>
              <w:t xml:space="preserve"> need to be disclosed in the risk factors section or elsewhere and to ensure that t</w:t>
            </w:r>
            <w:r>
              <w:rPr>
                <w:rFonts w:cs="Calibri"/>
              </w:rPr>
              <w:t>h</w:t>
            </w:r>
            <w:r w:rsidRPr="00DB5740">
              <w:rPr>
                <w:rFonts w:cs="Calibri"/>
              </w:rPr>
              <w:t>ere is no</w:t>
            </w:r>
            <w:r>
              <w:rPr>
                <w:rFonts w:cs="Calibri"/>
              </w:rPr>
              <w:t xml:space="preserve"> </w:t>
            </w:r>
            <w:r w:rsidRPr="00DB5740">
              <w:rPr>
                <w:rFonts w:cs="Calibri"/>
              </w:rPr>
              <w:t>omission or misstatement about the company</w:t>
            </w:r>
            <w:r>
              <w:rPr>
                <w:rFonts w:cs="Calibri"/>
              </w:rPr>
              <w:t>’</w:t>
            </w:r>
            <w:r w:rsidRPr="00DB5740">
              <w:rPr>
                <w:rFonts w:cs="Calibri"/>
              </w:rPr>
              <w:t xml:space="preserve">s exposure to cyber risks.  If the Form </w:t>
            </w:r>
            <w:r>
              <w:rPr>
                <w:rFonts w:cs="Calibri"/>
              </w:rPr>
              <w:t>10</w:t>
            </w:r>
            <w:r>
              <w:rPr>
                <w:rFonts w:cs="Calibri"/>
              </w:rPr>
              <w:noBreakHyphen/>
              <w:t>K</w:t>
            </w:r>
            <w:r w:rsidRPr="00DB5740">
              <w:rPr>
                <w:rFonts w:cs="Calibri"/>
              </w:rPr>
              <w:t xml:space="preserve"> contains no cybersecurity disclosure, consider includ</w:t>
            </w:r>
            <w:r>
              <w:rPr>
                <w:rFonts w:cs="Calibri"/>
              </w:rPr>
              <w:t>ing</w:t>
            </w:r>
            <w:r w:rsidRPr="00DB5740">
              <w:rPr>
                <w:rFonts w:cs="Calibri"/>
              </w:rPr>
              <w:t xml:space="preserve"> a cyb</w:t>
            </w:r>
            <w:r w:rsidRPr="00DB5740">
              <w:rPr>
                <w:rFonts w:cs="Calibri"/>
              </w:rPr>
              <w:t xml:space="preserve">ersecurity risk factor.  </w:t>
            </w:r>
          </w:p>
        </w:tc>
      </w:tr>
      <w:tr w:rsidR="00000000" w14:paraId="20F758FC"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02610E2E" w14:textId="77777777" w:rsidR="00771086" w:rsidRPr="00DB5740" w:rsidRDefault="005B5528" w:rsidP="00771086">
            <w:pPr>
              <w:autoSpaceDE w:val="0"/>
              <w:autoSpaceDN w:val="0"/>
              <w:adjustRightInd w:val="0"/>
              <w:rPr>
                <w:bCs/>
              </w:rPr>
            </w:pPr>
            <w:r w:rsidRPr="00DB5740">
              <w:rPr>
                <w:bCs/>
              </w:rPr>
              <w:lastRenderedPageBreak/>
              <w:t>[Forward-Looking Statements Cautionary Disclaimer]</w:t>
            </w:r>
          </w:p>
          <w:p w14:paraId="6069BD2C" w14:textId="77777777" w:rsidR="00771086" w:rsidRPr="00DB5740" w:rsidRDefault="00771086" w:rsidP="00771086">
            <w:pPr>
              <w:autoSpaceDE w:val="0"/>
              <w:autoSpaceDN w:val="0"/>
              <w:adjustRightInd w:val="0"/>
              <w:rPr>
                <w:bCs/>
              </w:rPr>
            </w:pPr>
          </w:p>
          <w:p w14:paraId="538B1F3F" w14:textId="77777777" w:rsidR="00771086" w:rsidRPr="00DB5740" w:rsidRDefault="005B5528" w:rsidP="00771086">
            <w:pPr>
              <w:autoSpaceDE w:val="0"/>
              <w:autoSpaceDN w:val="0"/>
              <w:adjustRightInd w:val="0"/>
              <w:rPr>
                <w:bCs/>
              </w:rPr>
            </w:pPr>
            <w:r w:rsidRPr="00DB5740">
              <w:rPr>
                <w:bCs/>
              </w:rPr>
              <w:t xml:space="preserve">Note on location: the forward-looking statement disclaimer is often placed immediately before or after Item 7, MD&amp;A because MD&amp;A is the part of the Form </w:t>
            </w:r>
            <w:r>
              <w:rPr>
                <w:bCs/>
              </w:rPr>
              <w:t>10</w:t>
            </w:r>
            <w:r>
              <w:rPr>
                <w:bCs/>
              </w:rPr>
              <w:noBreakHyphen/>
              <w:t>K</w:t>
            </w:r>
            <w:r w:rsidRPr="00DB5740">
              <w:rPr>
                <w:bCs/>
              </w:rPr>
              <w:t xml:space="preserve"> that is most likely</w:t>
            </w:r>
            <w:r w:rsidRPr="00DB5740">
              <w:rPr>
                <w:bCs/>
              </w:rPr>
              <w:t xml:space="preserve"> to contain forward-looking statements, but Form </w:t>
            </w:r>
            <w:r>
              <w:rPr>
                <w:bCs/>
              </w:rPr>
              <w:t>10</w:t>
            </w:r>
            <w:r>
              <w:rPr>
                <w:bCs/>
              </w:rPr>
              <w:noBreakHyphen/>
              <w:t>K</w:t>
            </w:r>
            <w:r w:rsidRPr="00DB5740">
              <w:rPr>
                <w:bCs/>
              </w:rPr>
              <w:t xml:space="preserve"> does not require the disclaimer, nor does it prescribe any specific location</w:t>
            </w:r>
            <w:r>
              <w:rPr>
                <w:bCs/>
              </w:rPr>
              <w:t>.  Many companies provide it at the beginning of the 10-K or in conjunction with the Risk Factors section.</w:t>
            </w:r>
          </w:p>
          <w:p w14:paraId="1B3A91B3" w14:textId="77777777" w:rsidR="00771086" w:rsidRPr="00DB5740" w:rsidRDefault="00771086" w:rsidP="00771086">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30F44364" w14:textId="77777777" w:rsidR="00771086" w:rsidRPr="00DB5740" w:rsidRDefault="005B5528" w:rsidP="00771086">
            <w:pPr>
              <w:pStyle w:val="BodyText"/>
              <w:spacing w:after="0"/>
              <w:jc w:val="center"/>
            </w:pPr>
            <w:r w:rsidRPr="00DB5740">
              <w:t>No Form </w:t>
            </w:r>
            <w:r>
              <w:t>10</w:t>
            </w:r>
            <w:r>
              <w:noBreakHyphen/>
              <w:t>K</w:t>
            </w:r>
            <w:r w:rsidRPr="00DB5740">
              <w:t xml:space="preserve"> Requi</w:t>
            </w:r>
            <w:r w:rsidRPr="00DB5740">
              <w:t>rement</w:t>
            </w:r>
          </w:p>
        </w:tc>
        <w:tc>
          <w:tcPr>
            <w:tcW w:w="1907" w:type="pct"/>
            <w:tcBorders>
              <w:top w:val="single" w:sz="4" w:space="0" w:color="auto"/>
              <w:left w:val="single" w:sz="4" w:space="0" w:color="auto"/>
              <w:bottom w:val="single" w:sz="4" w:space="0" w:color="auto"/>
              <w:right w:val="single" w:sz="4" w:space="0" w:color="auto"/>
            </w:tcBorders>
          </w:tcPr>
          <w:p w14:paraId="25CA121F" w14:textId="77777777" w:rsidR="00771086" w:rsidRPr="00DB5740" w:rsidRDefault="005B5528" w:rsidP="00771086">
            <w:pPr>
              <w:pStyle w:val="BodyText"/>
              <w:spacing w:after="120"/>
              <w:rPr>
                <w:sz w:val="20"/>
              </w:rPr>
            </w:pPr>
            <w:r w:rsidRPr="00DB5740">
              <w:rPr>
                <w:sz w:val="20"/>
              </w:rPr>
              <w:t xml:space="preserve">The forward-looking statement disclaimer is not required by Form </w:t>
            </w:r>
            <w:r>
              <w:rPr>
                <w:sz w:val="20"/>
              </w:rPr>
              <w:t>10</w:t>
            </w:r>
            <w:r>
              <w:rPr>
                <w:sz w:val="20"/>
              </w:rPr>
              <w:noBreakHyphen/>
              <w:t>K</w:t>
            </w:r>
            <w:r w:rsidRPr="00DB5740">
              <w:rPr>
                <w:sz w:val="20"/>
              </w:rPr>
              <w:t xml:space="preserve"> or by SEC rules or guidance.  It is optional disclosure permitted by the </w:t>
            </w:r>
            <w:hyperlink r:id="rId57" w:history="1">
              <w:r w:rsidRPr="00FC154F">
                <w:rPr>
                  <w:rStyle w:val="Hyperlink"/>
                  <w:sz w:val="20"/>
                </w:rPr>
                <w:t>Private Securities Litigation</w:t>
              </w:r>
              <w:r w:rsidRPr="00FC154F">
                <w:rPr>
                  <w:rStyle w:val="Hyperlink"/>
                  <w:sz w:val="20"/>
                </w:rPr>
                <w:t xml:space="preserve"> Reform Act of 1995</w:t>
              </w:r>
            </w:hyperlink>
            <w:r w:rsidRPr="00DB5740">
              <w:rPr>
                <w:sz w:val="20"/>
              </w:rPr>
              <w:t xml:space="preserve"> (P</w:t>
            </w:r>
            <w:r>
              <w:rPr>
                <w:sz w:val="20"/>
              </w:rPr>
              <w:t>SL</w:t>
            </w:r>
            <w:r w:rsidRPr="00DB5740">
              <w:rPr>
                <w:sz w:val="20"/>
              </w:rPr>
              <w:t xml:space="preserve">RA) that expands and codifies the </w:t>
            </w:r>
            <w:r>
              <w:rPr>
                <w:sz w:val="20"/>
              </w:rPr>
              <w:t>“</w:t>
            </w:r>
            <w:r w:rsidRPr="00DB5740">
              <w:rPr>
                <w:sz w:val="20"/>
              </w:rPr>
              <w:t>bespeaks caution</w:t>
            </w:r>
            <w:r>
              <w:rPr>
                <w:sz w:val="20"/>
              </w:rPr>
              <w:t>”</w:t>
            </w:r>
            <w:r w:rsidRPr="00DB5740">
              <w:rPr>
                <w:sz w:val="20"/>
              </w:rPr>
              <w:t xml:space="preserve"> doctrine developed by courts in securities litigation.  The PSLRA provides procedural protections for defendants that can result in early termination of securities litigation and</w:t>
            </w:r>
            <w:r w:rsidRPr="00DB5740">
              <w:rPr>
                <w:sz w:val="20"/>
              </w:rPr>
              <w:t>, potentially, signifi</w:t>
            </w:r>
            <w:r>
              <w:rPr>
                <w:sz w:val="20"/>
              </w:rPr>
              <w:t>ca</w:t>
            </w:r>
            <w:r w:rsidRPr="00DB5740">
              <w:rPr>
                <w:sz w:val="20"/>
              </w:rPr>
              <w:t>ntly reduce lit</w:t>
            </w:r>
            <w:r>
              <w:rPr>
                <w:sz w:val="20"/>
              </w:rPr>
              <w:t>ig</w:t>
            </w:r>
            <w:r w:rsidRPr="00DB5740">
              <w:rPr>
                <w:sz w:val="20"/>
              </w:rPr>
              <w:t>ation expenses.  Among other provisions, the PSLRA provides a defense against liability for certain forward-looking statements if the forward-looking statement is:</w:t>
            </w:r>
          </w:p>
          <w:p w14:paraId="5425EAFB" w14:textId="77777777" w:rsidR="00771086" w:rsidRPr="00DB5740" w:rsidRDefault="005B5528" w:rsidP="00771086">
            <w:pPr>
              <w:pStyle w:val="BodyText"/>
              <w:numPr>
                <w:ilvl w:val="0"/>
                <w:numId w:val="22"/>
              </w:numPr>
              <w:spacing w:after="120"/>
              <w:ind w:left="421"/>
              <w:rPr>
                <w:sz w:val="20"/>
              </w:rPr>
            </w:pPr>
            <w:r w:rsidRPr="00DB5740">
              <w:rPr>
                <w:sz w:val="20"/>
                <w:u w:val="single"/>
              </w:rPr>
              <w:t>identified</w:t>
            </w:r>
            <w:r w:rsidRPr="00DB5740">
              <w:rPr>
                <w:sz w:val="20"/>
              </w:rPr>
              <w:t xml:space="preserve"> as a forward-looking stat</w:t>
            </w:r>
            <w:r>
              <w:rPr>
                <w:sz w:val="20"/>
              </w:rPr>
              <w:t>em</w:t>
            </w:r>
            <w:r w:rsidRPr="00DB5740">
              <w:rPr>
                <w:sz w:val="20"/>
              </w:rPr>
              <w:t>ent and</w:t>
            </w:r>
          </w:p>
          <w:p w14:paraId="4DB4701B" w14:textId="77777777" w:rsidR="00771086" w:rsidRPr="00DB5740" w:rsidRDefault="005B5528" w:rsidP="00771086">
            <w:pPr>
              <w:pStyle w:val="BodyText"/>
              <w:numPr>
                <w:ilvl w:val="0"/>
                <w:numId w:val="22"/>
              </w:numPr>
              <w:spacing w:after="120"/>
              <w:ind w:left="421"/>
              <w:rPr>
                <w:sz w:val="20"/>
              </w:rPr>
            </w:pPr>
            <w:r w:rsidRPr="00DB5740">
              <w:rPr>
                <w:sz w:val="20"/>
                <w:u w:val="single"/>
              </w:rPr>
              <w:t>accom</w:t>
            </w:r>
            <w:r w:rsidRPr="00DB5740">
              <w:rPr>
                <w:sz w:val="20"/>
                <w:u w:val="single"/>
              </w:rPr>
              <w:t>pa</w:t>
            </w:r>
            <w:r>
              <w:rPr>
                <w:sz w:val="20"/>
                <w:u w:val="single"/>
              </w:rPr>
              <w:t>ni</w:t>
            </w:r>
            <w:r w:rsidRPr="00DB5740">
              <w:rPr>
                <w:sz w:val="20"/>
                <w:u w:val="single"/>
              </w:rPr>
              <w:t>ed</w:t>
            </w:r>
            <w:r w:rsidRPr="00DB5740">
              <w:rPr>
                <w:sz w:val="20"/>
              </w:rPr>
              <w:t xml:space="preserve"> by</w:t>
            </w:r>
          </w:p>
          <w:p w14:paraId="1E3D9C3E" w14:textId="77777777" w:rsidR="00771086" w:rsidRPr="00DB5740" w:rsidRDefault="005B5528" w:rsidP="00771086">
            <w:pPr>
              <w:pStyle w:val="BodyText"/>
              <w:numPr>
                <w:ilvl w:val="0"/>
                <w:numId w:val="22"/>
              </w:numPr>
              <w:spacing w:after="120"/>
              <w:ind w:left="421"/>
              <w:rPr>
                <w:sz w:val="20"/>
              </w:rPr>
            </w:pPr>
            <w:r w:rsidRPr="00DB5740">
              <w:rPr>
                <w:sz w:val="20"/>
                <w:u w:val="single"/>
              </w:rPr>
              <w:t>meaningful cautionary statements</w:t>
            </w:r>
            <w:r w:rsidRPr="00DB5740">
              <w:rPr>
                <w:sz w:val="20"/>
              </w:rPr>
              <w:t xml:space="preserve"> that identify important factors that could cause actual results to differ materially from the forward-looking statements.</w:t>
            </w:r>
          </w:p>
          <w:p w14:paraId="3C9FC799" w14:textId="77777777" w:rsidR="00771086" w:rsidRPr="00215BB8" w:rsidRDefault="005B5528" w:rsidP="00771086">
            <w:pPr>
              <w:pStyle w:val="BodyText"/>
              <w:spacing w:after="120"/>
              <w:rPr>
                <w:b/>
                <w:bCs/>
                <w:i/>
                <w:iCs/>
                <w:sz w:val="20"/>
              </w:rPr>
            </w:pPr>
            <w:r w:rsidRPr="00215BB8">
              <w:rPr>
                <w:i/>
                <w:iCs/>
                <w:sz w:val="20"/>
              </w:rPr>
              <w:t>Confirm</w:t>
            </w:r>
            <w:r w:rsidRPr="00215BB8">
              <w:rPr>
                <w:b/>
                <w:bCs/>
                <w:i/>
                <w:iCs/>
                <w:sz w:val="20"/>
              </w:rPr>
              <w:t>:</w:t>
            </w:r>
          </w:p>
          <w:p w14:paraId="58B90096" w14:textId="77777777" w:rsidR="00771086" w:rsidRPr="00215BB8" w:rsidRDefault="005B5528" w:rsidP="00771086">
            <w:pPr>
              <w:pStyle w:val="BodyText"/>
              <w:numPr>
                <w:ilvl w:val="0"/>
                <w:numId w:val="11"/>
              </w:numPr>
              <w:spacing w:after="120"/>
              <w:ind w:left="421"/>
              <w:rPr>
                <w:i/>
                <w:iCs/>
                <w:sz w:val="20"/>
              </w:rPr>
            </w:pPr>
            <w:r w:rsidRPr="00215BB8">
              <w:rPr>
                <w:i/>
                <w:iCs/>
                <w:sz w:val="20"/>
              </w:rPr>
              <w:t>that the disclaimer identifies forward-looking statements, typically by stating th</w:t>
            </w:r>
            <w:r w:rsidRPr="00215BB8">
              <w:rPr>
                <w:i/>
                <w:iCs/>
                <w:sz w:val="20"/>
              </w:rPr>
              <w:t xml:space="preserve">at words such as </w:t>
            </w:r>
            <w:r>
              <w:rPr>
                <w:i/>
                <w:iCs/>
                <w:sz w:val="20"/>
              </w:rPr>
              <w:t>“</w:t>
            </w:r>
            <w:r w:rsidRPr="00215BB8">
              <w:rPr>
                <w:i/>
                <w:iCs/>
                <w:sz w:val="20"/>
              </w:rPr>
              <w:t>believe,</w:t>
            </w:r>
            <w:r>
              <w:rPr>
                <w:i/>
                <w:iCs/>
                <w:sz w:val="20"/>
              </w:rPr>
              <w:t>”</w:t>
            </w:r>
            <w:r w:rsidRPr="00215BB8">
              <w:rPr>
                <w:i/>
                <w:iCs/>
                <w:sz w:val="20"/>
              </w:rPr>
              <w:t xml:space="preserve"> </w:t>
            </w:r>
            <w:r>
              <w:rPr>
                <w:i/>
                <w:iCs/>
                <w:sz w:val="20"/>
              </w:rPr>
              <w:t>“</w:t>
            </w:r>
            <w:r w:rsidRPr="00215BB8">
              <w:rPr>
                <w:i/>
                <w:iCs/>
                <w:sz w:val="20"/>
              </w:rPr>
              <w:t>expect</w:t>
            </w:r>
            <w:r>
              <w:rPr>
                <w:i/>
                <w:iCs/>
                <w:sz w:val="20"/>
              </w:rPr>
              <w:t>”</w:t>
            </w:r>
            <w:r w:rsidRPr="00215BB8">
              <w:rPr>
                <w:i/>
                <w:iCs/>
                <w:sz w:val="20"/>
              </w:rPr>
              <w:t xml:space="preserve"> or other similar words identify a forward-looking statement;</w:t>
            </w:r>
          </w:p>
          <w:p w14:paraId="4C5869AF" w14:textId="77777777" w:rsidR="00771086" w:rsidRPr="00215BB8" w:rsidRDefault="005B5528" w:rsidP="00771086">
            <w:pPr>
              <w:pStyle w:val="BodyText"/>
              <w:numPr>
                <w:ilvl w:val="0"/>
                <w:numId w:val="11"/>
              </w:numPr>
              <w:spacing w:after="120"/>
              <w:ind w:left="421"/>
              <w:rPr>
                <w:i/>
                <w:iCs/>
                <w:sz w:val="20"/>
              </w:rPr>
            </w:pPr>
            <w:r w:rsidRPr="00215BB8">
              <w:rPr>
                <w:i/>
                <w:iCs/>
                <w:sz w:val="20"/>
              </w:rPr>
              <w:t xml:space="preserve">that the disclaimer identifies </w:t>
            </w:r>
            <w:r>
              <w:rPr>
                <w:i/>
                <w:iCs/>
                <w:sz w:val="20"/>
              </w:rPr>
              <w:t>“</w:t>
            </w:r>
            <w:r w:rsidRPr="00215BB8">
              <w:rPr>
                <w:i/>
                <w:iCs/>
                <w:sz w:val="20"/>
              </w:rPr>
              <w:t>important</w:t>
            </w:r>
            <w:r>
              <w:rPr>
                <w:i/>
                <w:iCs/>
                <w:sz w:val="20"/>
              </w:rPr>
              <w:t>”</w:t>
            </w:r>
            <w:r w:rsidRPr="00215BB8">
              <w:rPr>
                <w:i/>
                <w:iCs/>
                <w:sz w:val="20"/>
              </w:rPr>
              <w:t xml:space="preserve"> factors that could result in the forward-looking statements not coming to fruition;</w:t>
            </w:r>
          </w:p>
          <w:p w14:paraId="76DB4DB1" w14:textId="77777777" w:rsidR="00771086" w:rsidRPr="00215BB8" w:rsidRDefault="005B5528" w:rsidP="00771086">
            <w:pPr>
              <w:pStyle w:val="BodyText"/>
              <w:numPr>
                <w:ilvl w:val="0"/>
                <w:numId w:val="11"/>
              </w:numPr>
              <w:spacing w:after="120"/>
              <w:ind w:left="421"/>
              <w:rPr>
                <w:i/>
                <w:iCs/>
                <w:sz w:val="20"/>
              </w:rPr>
            </w:pPr>
            <w:r w:rsidRPr="00215BB8">
              <w:rPr>
                <w:i/>
                <w:iCs/>
                <w:sz w:val="20"/>
              </w:rPr>
              <w:t xml:space="preserve">that these </w:t>
            </w:r>
            <w:r>
              <w:rPr>
                <w:i/>
                <w:iCs/>
                <w:sz w:val="20"/>
              </w:rPr>
              <w:t>fa</w:t>
            </w:r>
            <w:r w:rsidRPr="00215BB8">
              <w:rPr>
                <w:i/>
                <w:iCs/>
                <w:sz w:val="20"/>
              </w:rPr>
              <w:t xml:space="preserve">ctors </w:t>
            </w:r>
            <w:r>
              <w:rPr>
                <w:i/>
                <w:iCs/>
                <w:sz w:val="20"/>
              </w:rPr>
              <w:t>are r</w:t>
            </w:r>
            <w:r w:rsidRPr="00215BB8">
              <w:rPr>
                <w:i/>
                <w:iCs/>
                <w:sz w:val="20"/>
              </w:rPr>
              <w:t>evie</w:t>
            </w:r>
            <w:r>
              <w:rPr>
                <w:i/>
                <w:iCs/>
                <w:sz w:val="20"/>
              </w:rPr>
              <w:t>wed</w:t>
            </w:r>
            <w:r w:rsidRPr="00215BB8">
              <w:rPr>
                <w:i/>
                <w:iCs/>
                <w:sz w:val="20"/>
              </w:rPr>
              <w:t xml:space="preserve"> and updated for each filing rather than merely copied from a prior filing;</w:t>
            </w:r>
          </w:p>
          <w:p w14:paraId="56406773" w14:textId="77777777" w:rsidR="00771086" w:rsidRPr="00DB5740" w:rsidRDefault="005B5528" w:rsidP="00771086">
            <w:pPr>
              <w:pStyle w:val="BodyText"/>
              <w:numPr>
                <w:ilvl w:val="0"/>
                <w:numId w:val="11"/>
              </w:numPr>
              <w:spacing w:after="120"/>
              <w:ind w:left="421"/>
              <w:rPr>
                <w:sz w:val="20"/>
              </w:rPr>
            </w:pPr>
            <w:r w:rsidRPr="00215BB8">
              <w:rPr>
                <w:i/>
                <w:iCs/>
                <w:sz w:val="20"/>
              </w:rPr>
              <w:t>that these fac</w:t>
            </w:r>
            <w:r>
              <w:rPr>
                <w:i/>
                <w:iCs/>
                <w:sz w:val="20"/>
              </w:rPr>
              <w:t>tors</w:t>
            </w:r>
            <w:r w:rsidRPr="00215BB8">
              <w:rPr>
                <w:i/>
                <w:iCs/>
                <w:sz w:val="20"/>
              </w:rPr>
              <w:t xml:space="preserve"> are in</w:t>
            </w:r>
            <w:r>
              <w:rPr>
                <w:i/>
                <w:iCs/>
                <w:sz w:val="20"/>
              </w:rPr>
              <w:t>clu</w:t>
            </w:r>
            <w:r w:rsidRPr="00215BB8">
              <w:rPr>
                <w:i/>
                <w:iCs/>
                <w:sz w:val="20"/>
              </w:rPr>
              <w:t xml:space="preserve">ded in or otherwise </w:t>
            </w:r>
            <w:r w:rsidRPr="00215BB8">
              <w:rPr>
                <w:i/>
                <w:iCs/>
                <w:sz w:val="20"/>
              </w:rPr>
              <w:br/>
            </w:r>
            <w:r>
              <w:rPr>
                <w:i/>
                <w:iCs/>
                <w:sz w:val="20"/>
              </w:rPr>
              <w:t>“</w:t>
            </w:r>
            <w:r w:rsidRPr="00215BB8">
              <w:rPr>
                <w:i/>
                <w:iCs/>
                <w:sz w:val="20"/>
              </w:rPr>
              <w:t>accompany</w:t>
            </w:r>
            <w:r>
              <w:rPr>
                <w:i/>
                <w:iCs/>
                <w:sz w:val="20"/>
              </w:rPr>
              <w:t>”</w:t>
            </w:r>
            <w:r w:rsidRPr="00215BB8">
              <w:rPr>
                <w:i/>
                <w:iCs/>
                <w:sz w:val="20"/>
              </w:rPr>
              <w:t xml:space="preserve"> the disclaimer, which in most cases means that they are part o</w:t>
            </w:r>
            <w:r>
              <w:rPr>
                <w:i/>
                <w:iCs/>
                <w:sz w:val="20"/>
              </w:rPr>
              <w:t xml:space="preserve">f </w:t>
            </w:r>
            <w:r w:rsidRPr="00215BB8">
              <w:rPr>
                <w:i/>
                <w:iCs/>
                <w:sz w:val="20"/>
              </w:rPr>
              <w:t>the dis</w:t>
            </w:r>
            <w:r>
              <w:rPr>
                <w:i/>
                <w:iCs/>
                <w:sz w:val="20"/>
              </w:rPr>
              <w:t>clai</w:t>
            </w:r>
            <w:r w:rsidRPr="00215BB8">
              <w:rPr>
                <w:i/>
                <w:iCs/>
                <w:sz w:val="20"/>
              </w:rPr>
              <w:t xml:space="preserve">mer, </w:t>
            </w:r>
            <w:r>
              <w:rPr>
                <w:i/>
                <w:iCs/>
                <w:sz w:val="20"/>
              </w:rPr>
              <w:t>ra</w:t>
            </w:r>
            <w:r w:rsidRPr="00215BB8">
              <w:rPr>
                <w:i/>
                <w:iCs/>
                <w:sz w:val="20"/>
              </w:rPr>
              <w:t xml:space="preserve">ther than </w:t>
            </w:r>
            <w:r>
              <w:rPr>
                <w:i/>
                <w:iCs/>
                <w:sz w:val="20"/>
              </w:rPr>
              <w:t>“</w:t>
            </w:r>
            <w:r w:rsidRPr="00215BB8">
              <w:rPr>
                <w:i/>
                <w:iCs/>
                <w:sz w:val="20"/>
              </w:rPr>
              <w:t>incorporated by reference</w:t>
            </w:r>
            <w:r>
              <w:rPr>
                <w:i/>
                <w:iCs/>
                <w:sz w:val="20"/>
              </w:rPr>
              <w:t>”</w:t>
            </w:r>
            <w:r w:rsidRPr="00215BB8">
              <w:rPr>
                <w:i/>
                <w:iCs/>
                <w:sz w:val="20"/>
              </w:rPr>
              <w:t xml:space="preserve"> from another document or filing.  References to other </w:t>
            </w:r>
            <w:r>
              <w:rPr>
                <w:i/>
                <w:iCs/>
                <w:sz w:val="20"/>
              </w:rPr>
              <w:t>do</w:t>
            </w:r>
            <w:r w:rsidRPr="00215BB8">
              <w:rPr>
                <w:i/>
                <w:iCs/>
                <w:sz w:val="20"/>
              </w:rPr>
              <w:t xml:space="preserve">cuments </w:t>
            </w:r>
            <w:r>
              <w:rPr>
                <w:i/>
                <w:iCs/>
                <w:sz w:val="20"/>
              </w:rPr>
              <w:t>or</w:t>
            </w:r>
            <w:r w:rsidRPr="00215BB8">
              <w:rPr>
                <w:i/>
                <w:iCs/>
                <w:sz w:val="20"/>
              </w:rPr>
              <w:t xml:space="preserve"> filings can </w:t>
            </w:r>
            <w:r w:rsidRPr="00215BB8">
              <w:rPr>
                <w:b/>
                <w:bCs/>
                <w:i/>
                <w:iCs/>
                <w:sz w:val="20"/>
              </w:rPr>
              <w:t>supplem</w:t>
            </w:r>
            <w:r>
              <w:rPr>
                <w:b/>
                <w:bCs/>
                <w:i/>
                <w:iCs/>
                <w:sz w:val="20"/>
              </w:rPr>
              <w:t>ent</w:t>
            </w:r>
            <w:r w:rsidRPr="00215BB8">
              <w:rPr>
                <w:i/>
                <w:iCs/>
                <w:sz w:val="20"/>
              </w:rPr>
              <w:t xml:space="preserve"> but in </w:t>
            </w:r>
            <w:r>
              <w:rPr>
                <w:i/>
                <w:iCs/>
                <w:sz w:val="20"/>
              </w:rPr>
              <w:t>mo</w:t>
            </w:r>
            <w:r w:rsidRPr="00215BB8">
              <w:rPr>
                <w:i/>
                <w:iCs/>
                <w:sz w:val="20"/>
              </w:rPr>
              <w:t>st cases cannot replace factors stated in the disclaimer.</w:t>
            </w:r>
          </w:p>
        </w:tc>
        <w:tc>
          <w:tcPr>
            <w:tcW w:w="925" w:type="pct"/>
            <w:tcBorders>
              <w:top w:val="single" w:sz="4" w:space="0" w:color="auto"/>
              <w:left w:val="single" w:sz="4" w:space="0" w:color="auto"/>
              <w:bottom w:val="single" w:sz="4" w:space="0" w:color="auto"/>
              <w:right w:val="single" w:sz="4" w:space="0" w:color="auto"/>
            </w:tcBorders>
          </w:tcPr>
          <w:p w14:paraId="7FCD9332" w14:textId="77777777" w:rsidR="00771086" w:rsidRPr="00DB5740" w:rsidRDefault="005B5528" w:rsidP="00771086">
            <w:pPr>
              <w:pStyle w:val="BodyText"/>
              <w:spacing w:after="120"/>
            </w:pPr>
            <w:r w:rsidRPr="00DB5740">
              <w:t>See a</w:t>
            </w:r>
            <w:r>
              <w:t>l</w:t>
            </w:r>
            <w:r w:rsidRPr="00DB5740">
              <w:t xml:space="preserve">so Item </w:t>
            </w:r>
            <w:r>
              <w:t>1</w:t>
            </w:r>
            <w:r w:rsidRPr="00DB5740">
              <w:t>A</w:t>
            </w:r>
            <w:r>
              <w:t>,</w:t>
            </w:r>
            <w:r w:rsidRPr="00DB5740">
              <w:t xml:space="preserve"> </w:t>
            </w:r>
            <w:r>
              <w:t>“</w:t>
            </w:r>
            <w:r w:rsidRPr="00DB5740">
              <w:t>Risk</w:t>
            </w:r>
            <w:r>
              <w:t xml:space="preserve"> </w:t>
            </w:r>
            <w:r w:rsidRPr="00DB5740">
              <w:t>Factors,</w:t>
            </w:r>
            <w:r>
              <w:t>”</w:t>
            </w:r>
            <w:r w:rsidRPr="00DB5740">
              <w:t xml:space="preserve"> </w:t>
            </w:r>
            <w:r>
              <w:t>be</w:t>
            </w:r>
            <w:r w:rsidRPr="00DB5740">
              <w:t>low.</w:t>
            </w:r>
          </w:p>
        </w:tc>
        <w:tc>
          <w:tcPr>
            <w:tcW w:w="585" w:type="pct"/>
            <w:tcBorders>
              <w:top w:val="single" w:sz="4" w:space="0" w:color="auto"/>
              <w:left w:val="single" w:sz="4" w:space="0" w:color="auto"/>
              <w:bottom w:val="single" w:sz="4" w:space="0" w:color="auto"/>
              <w:right w:val="single" w:sz="4" w:space="0" w:color="auto"/>
            </w:tcBorders>
          </w:tcPr>
          <w:p w14:paraId="0C94DF00" w14:textId="77777777" w:rsidR="00771086" w:rsidRPr="00DB5740" w:rsidRDefault="00771086" w:rsidP="00771086">
            <w:pPr>
              <w:pStyle w:val="BodyText"/>
              <w:spacing w:after="120"/>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463BC3F6"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7DD9A0B6" w14:textId="77777777" w:rsidR="00771086" w:rsidRPr="00DB5740" w:rsidRDefault="005B5528" w:rsidP="00771086">
            <w:pPr>
              <w:pStyle w:val="BodyText"/>
              <w:spacing w:after="120"/>
              <w:jc w:val="center"/>
            </w:pPr>
            <w:r w:rsidRPr="00DB5740">
              <w:t xml:space="preserve">No  </w:t>
            </w:r>
            <w:r w:rsidRPr="00DB5740">
              <w:rPr>
                <w:rFonts w:ascii="Segoe UI Symbol" w:eastAsia="MS Gothic" w:hAnsi="Segoe UI Symbol" w:cs="Segoe UI Symbol"/>
              </w:rPr>
              <w:t>☐</w:t>
            </w:r>
          </w:p>
        </w:tc>
      </w:tr>
      <w:tr w:rsidR="00000000" w14:paraId="476D3040"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4C1D808E" w14:textId="77777777" w:rsidR="00771086" w:rsidRPr="00DB5740" w:rsidRDefault="005B5528" w:rsidP="00771086">
            <w:pPr>
              <w:pStyle w:val="BodyText"/>
            </w:pPr>
            <w:r w:rsidRPr="00DB5740">
              <w:lastRenderedPageBreak/>
              <w:t>Part</w:t>
            </w:r>
            <w:r>
              <w:t xml:space="preserve"> III </w:t>
            </w:r>
            <w:r w:rsidRPr="00DB5740">
              <w:t>(No Item or Caption)</w:t>
            </w:r>
          </w:p>
          <w:p w14:paraId="22D9AC97" w14:textId="77777777" w:rsidR="00771086" w:rsidRPr="00DB5740" w:rsidRDefault="005B5528" w:rsidP="00771086">
            <w:pPr>
              <w:autoSpaceDE w:val="0"/>
              <w:autoSpaceDN w:val="0"/>
              <w:adjustRightInd w:val="0"/>
              <w:rPr>
                <w:bCs/>
              </w:rPr>
            </w:pPr>
            <w:r w:rsidRPr="00DB5740">
              <w:rPr>
                <w:i/>
              </w:rPr>
              <w:t>See General I</w:t>
            </w:r>
            <w:r w:rsidRPr="00DB5740">
              <w:rPr>
                <w:i/>
              </w:rPr>
              <w:t>nstruction G</w:t>
            </w:r>
            <w:r>
              <w:rPr>
                <w:i/>
              </w:rPr>
              <w:t>.</w:t>
            </w:r>
            <w:r w:rsidRPr="00DB5740">
              <w:rPr>
                <w:i/>
              </w:rPr>
              <w:t>(3)</w:t>
            </w:r>
          </w:p>
        </w:tc>
        <w:tc>
          <w:tcPr>
            <w:tcW w:w="584" w:type="pct"/>
            <w:tcBorders>
              <w:top w:val="single" w:sz="4" w:space="0" w:color="auto"/>
              <w:left w:val="single" w:sz="4" w:space="0" w:color="auto"/>
              <w:bottom w:val="single" w:sz="4" w:space="0" w:color="auto"/>
              <w:right w:val="single" w:sz="4" w:space="0" w:color="auto"/>
            </w:tcBorders>
          </w:tcPr>
          <w:p w14:paraId="13BEF101" w14:textId="77777777" w:rsidR="00771086" w:rsidRPr="00DB5740" w:rsidRDefault="00771086" w:rsidP="00771086">
            <w:pPr>
              <w:pStyle w:val="BodyText"/>
              <w:spacing w:after="0"/>
              <w:jc w:val="center"/>
            </w:pPr>
          </w:p>
        </w:tc>
        <w:tc>
          <w:tcPr>
            <w:tcW w:w="1907" w:type="pct"/>
            <w:tcBorders>
              <w:top w:val="single" w:sz="4" w:space="0" w:color="auto"/>
              <w:left w:val="single" w:sz="4" w:space="0" w:color="auto"/>
              <w:bottom w:val="single" w:sz="4" w:space="0" w:color="auto"/>
              <w:right w:val="single" w:sz="4" w:space="0" w:color="auto"/>
            </w:tcBorders>
          </w:tcPr>
          <w:p w14:paraId="1F30662B" w14:textId="77777777" w:rsidR="00771086" w:rsidRDefault="005B5528" w:rsidP="00771086">
            <w:pPr>
              <w:pStyle w:val="BodyText"/>
              <w:spacing w:after="120"/>
              <w:rPr>
                <w:b/>
              </w:rPr>
            </w:pPr>
            <w:r>
              <w:rPr>
                <w:b/>
              </w:rPr>
              <w:t>Proxy s</w:t>
            </w:r>
            <w:r w:rsidRPr="00B0368B">
              <w:rPr>
                <w:b/>
              </w:rPr>
              <w:t>t</w:t>
            </w:r>
            <w:r>
              <w:rPr>
                <w:b/>
              </w:rPr>
              <w:t>atement</w:t>
            </w:r>
            <w:r w:rsidRPr="00B0368B">
              <w:rPr>
                <w:b/>
              </w:rPr>
              <w:t xml:space="preserve"> can omit executive </w:t>
            </w:r>
            <w:r>
              <w:rPr>
                <w:b/>
              </w:rPr>
              <w:t xml:space="preserve">officer Item </w:t>
            </w:r>
            <w:r w:rsidRPr="00B0368B">
              <w:rPr>
                <w:b/>
              </w:rPr>
              <w:t xml:space="preserve">401 information if included in Part I of Form 10-K under caption </w:t>
            </w:r>
            <w:r>
              <w:rPr>
                <w:b/>
              </w:rPr>
              <w:t>“</w:t>
            </w:r>
            <w:r w:rsidRPr="00B0368B">
              <w:rPr>
                <w:b/>
              </w:rPr>
              <w:t>Informatio</w:t>
            </w:r>
            <w:r>
              <w:rPr>
                <w:b/>
              </w:rPr>
              <w:t xml:space="preserve">n </w:t>
            </w:r>
            <w:r w:rsidRPr="00B0368B">
              <w:rPr>
                <w:b/>
              </w:rPr>
              <w:t>about our Ex</w:t>
            </w:r>
            <w:r>
              <w:rPr>
                <w:b/>
              </w:rPr>
              <w:t>ec</w:t>
            </w:r>
            <w:r w:rsidRPr="00B0368B">
              <w:rPr>
                <w:b/>
              </w:rPr>
              <w:t>utive Officers</w:t>
            </w:r>
            <w:r>
              <w:rPr>
                <w:b/>
              </w:rPr>
              <w:t>”</w:t>
            </w:r>
          </w:p>
          <w:p w14:paraId="1ECC38F2" w14:textId="77777777" w:rsidR="00771086" w:rsidRPr="00DB5740" w:rsidRDefault="005B5528" w:rsidP="00771086">
            <w:pPr>
              <w:pStyle w:val="BodyText"/>
              <w:spacing w:after="120"/>
            </w:pPr>
            <w:r>
              <w:t>An</w:t>
            </w:r>
            <w:r w:rsidRPr="00DB5740">
              <w:t xml:space="preserve"> </w:t>
            </w:r>
            <w:r>
              <w:t>instruction</w:t>
            </w:r>
            <w:r w:rsidRPr="00DB5740">
              <w:t xml:space="preserve"> </w:t>
            </w:r>
            <w:r>
              <w:t>to</w:t>
            </w:r>
            <w:r w:rsidRPr="00DB5740">
              <w:t xml:space="preserve"> Item 401 </w:t>
            </w:r>
            <w:r>
              <w:t>states</w:t>
            </w:r>
            <w:r w:rsidRPr="00DB5740">
              <w:t xml:space="preserve"> that information about </w:t>
            </w:r>
            <w:r w:rsidRPr="00B0368B">
              <w:rPr>
                <w:b/>
                <w:bCs/>
              </w:rPr>
              <w:t>executive officers</w:t>
            </w:r>
            <w:r w:rsidRPr="00DB5740">
              <w:t xml:space="preserve"> requir</w:t>
            </w:r>
            <w:r w:rsidRPr="00DB5740">
              <w:t>ed by Item 401 is not re</w:t>
            </w:r>
            <w:r>
              <w:t>q</w:t>
            </w:r>
            <w:r w:rsidRPr="00DB5740">
              <w:t xml:space="preserve">uired in </w:t>
            </w:r>
            <w:r>
              <w:t>a</w:t>
            </w:r>
            <w:r w:rsidRPr="00DB5740">
              <w:t xml:space="preserve"> company</w:t>
            </w:r>
            <w:r>
              <w:t>’</w:t>
            </w:r>
            <w:r w:rsidRPr="00DB5740">
              <w:t xml:space="preserve">s proxy statement if </w:t>
            </w:r>
            <w:r>
              <w:t xml:space="preserve">the company is relying on Instruction G to Form 10-K and the information </w:t>
            </w:r>
            <w:r w:rsidRPr="00DB5740">
              <w:t xml:space="preserve">is </w:t>
            </w:r>
            <w:r>
              <w:t>inc</w:t>
            </w:r>
            <w:r w:rsidRPr="00DB5740">
              <w:t>luded in the company</w:t>
            </w:r>
            <w:r>
              <w:t>’</w:t>
            </w:r>
            <w:r w:rsidRPr="00DB5740">
              <w:t xml:space="preserve">s Form </w:t>
            </w:r>
            <w:r>
              <w:t>10</w:t>
            </w:r>
            <w:r>
              <w:noBreakHyphen/>
              <w:t>K</w:t>
            </w:r>
            <w:r w:rsidRPr="00DB5740">
              <w:t xml:space="preserve"> annual report.  The instruction applies to all executive officer disclosure req</w:t>
            </w:r>
            <w:r w:rsidRPr="00DB5740">
              <w:t xml:space="preserve">uired by Item 401. </w:t>
            </w:r>
          </w:p>
          <w:p w14:paraId="1BB14DAB" w14:textId="77777777" w:rsidR="00771086" w:rsidRDefault="005B5528" w:rsidP="00771086">
            <w:pPr>
              <w:pStyle w:val="BodyText"/>
              <w:spacing w:after="120"/>
            </w:pPr>
            <w:r w:rsidRPr="00DB5740">
              <w:t>If the company includes this disclosure in its Fo</w:t>
            </w:r>
            <w:r>
              <w:t>rm 10</w:t>
            </w:r>
            <w:r>
              <w:noBreakHyphen/>
              <w:t>K</w:t>
            </w:r>
            <w:r w:rsidRPr="00DB5740">
              <w:t>, the i</w:t>
            </w:r>
            <w:r>
              <w:t>n</w:t>
            </w:r>
            <w:r w:rsidRPr="00DB5740">
              <w:t>structions to</w:t>
            </w:r>
            <w:r>
              <w:t xml:space="preserve"> </w:t>
            </w:r>
            <w:r w:rsidRPr="00DB5740">
              <w:t xml:space="preserve">Form </w:t>
            </w:r>
            <w:r>
              <w:t>10</w:t>
            </w:r>
            <w:r>
              <w:noBreakHyphen/>
              <w:t>K</w:t>
            </w:r>
            <w:r w:rsidRPr="00DB5740">
              <w:t xml:space="preserve"> requ</w:t>
            </w:r>
            <w:r>
              <w:t>ir</w:t>
            </w:r>
            <w:r w:rsidRPr="00DB5740">
              <w:t xml:space="preserve">e </w:t>
            </w:r>
            <w:r>
              <w:t>the following:</w:t>
            </w:r>
          </w:p>
          <w:p w14:paraId="7BFD63F9" w14:textId="77777777" w:rsidR="00771086" w:rsidRDefault="005B5528" w:rsidP="00771086">
            <w:pPr>
              <w:pStyle w:val="BodyText"/>
              <w:numPr>
                <w:ilvl w:val="0"/>
                <w:numId w:val="37"/>
              </w:numPr>
              <w:spacing w:after="120"/>
            </w:pPr>
            <w:r w:rsidRPr="00DB5740">
              <w:t xml:space="preserve">this disclosure </w:t>
            </w:r>
            <w:r>
              <w:t xml:space="preserve">must appear </w:t>
            </w:r>
            <w:r w:rsidRPr="00DB5740">
              <w:t xml:space="preserve">in a separate section in Part I of the Form </w:t>
            </w:r>
            <w:r>
              <w:t>10</w:t>
            </w:r>
            <w:r>
              <w:noBreakHyphen/>
              <w:t>K; and</w:t>
            </w:r>
          </w:p>
          <w:p w14:paraId="42F132E8" w14:textId="77777777" w:rsidR="00771086" w:rsidRPr="00DB5740" w:rsidRDefault="005B5528" w:rsidP="00771086">
            <w:pPr>
              <w:pStyle w:val="BodyText"/>
              <w:numPr>
                <w:ilvl w:val="0"/>
                <w:numId w:val="37"/>
              </w:numPr>
              <w:spacing w:after="120"/>
            </w:pPr>
            <w:r>
              <w:t>this section must be captioned</w:t>
            </w:r>
            <w:r w:rsidRPr="00DB5740">
              <w:t xml:space="preserve"> </w:t>
            </w:r>
            <w:r>
              <w:t>“</w:t>
            </w:r>
            <w:r w:rsidRPr="00DB5740">
              <w:t>Information</w:t>
            </w:r>
            <w:r w:rsidRPr="00DB5740">
              <w:t xml:space="preserve"> about our Executive Officers</w:t>
            </w:r>
            <w:r>
              <w:t>”</w:t>
            </w:r>
            <w:r w:rsidRPr="00DB5740">
              <w:t xml:space="preserve"> </w:t>
            </w:r>
            <w:r>
              <w:t>(</w:t>
            </w:r>
            <w:r w:rsidRPr="00DB5740">
              <w:t xml:space="preserve">not </w:t>
            </w:r>
            <w:r>
              <w:t>“</w:t>
            </w:r>
            <w:r w:rsidRPr="00DB5740">
              <w:t>Execu</w:t>
            </w:r>
            <w:r>
              <w:t>t</w:t>
            </w:r>
            <w:r w:rsidRPr="00DB5740">
              <w:t>ive Officers of the Registrant,</w:t>
            </w:r>
            <w:r>
              <w:t>”</w:t>
            </w:r>
            <w:r w:rsidRPr="00DB5740">
              <w:t xml:space="preserve"> as </w:t>
            </w:r>
            <w:r>
              <w:t>required by an earlier version of Item 401).</w:t>
            </w:r>
          </w:p>
          <w:p w14:paraId="3A3AB40A" w14:textId="77777777" w:rsidR="00771086" w:rsidRPr="00B0368B" w:rsidRDefault="005B5528" w:rsidP="00771086">
            <w:pPr>
              <w:pStyle w:val="BodyText"/>
              <w:spacing w:after="120"/>
              <w:rPr>
                <w:i/>
                <w:iCs/>
                <w:sz w:val="21"/>
                <w:szCs w:val="21"/>
              </w:rPr>
            </w:pPr>
            <w:r w:rsidRPr="00B0368B">
              <w:rPr>
                <w:i/>
                <w:iCs/>
              </w:rPr>
              <w:t>Confirm that the Form 10</w:t>
            </w:r>
            <w:r w:rsidRPr="00B0368B">
              <w:rPr>
                <w:i/>
                <w:iCs/>
              </w:rPr>
              <w:noBreakHyphen/>
              <w:t>K complies with this requirement, if applicable.</w:t>
            </w:r>
          </w:p>
        </w:tc>
        <w:tc>
          <w:tcPr>
            <w:tcW w:w="925" w:type="pct"/>
            <w:tcBorders>
              <w:top w:val="single" w:sz="4" w:space="0" w:color="auto"/>
              <w:left w:val="single" w:sz="4" w:space="0" w:color="auto"/>
              <w:bottom w:val="single" w:sz="4" w:space="0" w:color="auto"/>
              <w:right w:val="single" w:sz="4" w:space="0" w:color="auto"/>
            </w:tcBorders>
          </w:tcPr>
          <w:p w14:paraId="7919C197" w14:textId="77777777" w:rsidR="00771086" w:rsidRDefault="005B5528" w:rsidP="00771086">
            <w:pPr>
              <w:pStyle w:val="BodyText"/>
              <w:spacing w:after="120"/>
            </w:pPr>
            <w:hyperlink r:id="rId58" w:anchor="229.401" w:history="1">
              <w:r w:rsidRPr="00FC154F">
                <w:rPr>
                  <w:rStyle w:val="Hyperlink"/>
                </w:rPr>
                <w:t>Regulation S-K I</w:t>
              </w:r>
              <w:r>
                <w:rPr>
                  <w:rStyle w:val="Hyperlink"/>
                </w:rPr>
                <w:t>te</w:t>
              </w:r>
              <w:r w:rsidRPr="00FC154F">
                <w:rPr>
                  <w:rStyle w:val="Hyperlink"/>
                </w:rPr>
                <w:t>m 401</w:t>
              </w:r>
            </w:hyperlink>
          </w:p>
          <w:p w14:paraId="6C24B583" w14:textId="77777777" w:rsidR="00771086" w:rsidRDefault="005B5528" w:rsidP="00771086">
            <w:pPr>
              <w:spacing w:after="120"/>
            </w:pPr>
            <w:hyperlink r:id="rId59" w:history="1">
              <w:r w:rsidRPr="00000FB3">
                <w:rPr>
                  <w:rStyle w:val="Hyperlink"/>
                </w:rPr>
                <w:t>Form 1</w:t>
              </w:r>
              <w:bookmarkStart w:id="33" w:name="_Hlt96161272"/>
              <w:bookmarkStart w:id="34" w:name="_Hlt96161273"/>
              <w:r w:rsidRPr="00000FB3">
                <w:rPr>
                  <w:rStyle w:val="Hyperlink"/>
                </w:rPr>
                <w:t>0</w:t>
              </w:r>
              <w:bookmarkEnd w:id="33"/>
              <w:bookmarkEnd w:id="34"/>
              <w:r w:rsidRPr="00000FB3">
                <w:rPr>
                  <w:rStyle w:val="Hyperlink"/>
                </w:rPr>
                <w:noBreakHyphen/>
                <w:t>K</w:t>
              </w:r>
            </w:hyperlink>
            <w:r w:rsidRPr="00DB5740">
              <w:t xml:space="preserve"> General Instruction G(3</w:t>
            </w:r>
            <w:r>
              <w:t>)</w:t>
            </w:r>
          </w:p>
          <w:p w14:paraId="575465F0" w14:textId="77777777" w:rsidR="00771086" w:rsidRPr="00761D33" w:rsidRDefault="005B5528" w:rsidP="00771086">
            <w:pPr>
              <w:spacing w:after="120"/>
              <w:rPr>
                <w:rStyle w:val="Hyperlink"/>
              </w:rPr>
            </w:pPr>
            <w:hyperlink r:id="rId60" w:history="1">
              <w:r w:rsidRPr="00761D33">
                <w:rPr>
                  <w:rStyle w:val="Hyperlink"/>
                </w:rPr>
                <w:t>SEC R</w:t>
              </w:r>
              <w:r>
                <w:rPr>
                  <w:rStyle w:val="Hyperlink"/>
                </w:rPr>
                <w:t>el</w:t>
              </w:r>
              <w:r w:rsidRPr="00761D33">
                <w:rPr>
                  <w:rStyle w:val="Hyperlink"/>
                </w:rPr>
                <w:t>ease N</w:t>
              </w:r>
              <w:bookmarkStart w:id="35" w:name="_Hlt93998978"/>
              <w:bookmarkStart w:id="36" w:name="_Hlt93998979"/>
              <w:r w:rsidRPr="00761D33">
                <w:rPr>
                  <w:rStyle w:val="Hyperlink"/>
                </w:rPr>
                <w:t>o</w:t>
              </w:r>
              <w:bookmarkEnd w:id="35"/>
              <w:bookmarkEnd w:id="36"/>
              <w:r w:rsidRPr="00761D33">
                <w:rPr>
                  <w:rStyle w:val="Hyperlink"/>
                </w:rPr>
                <w:t>. 33-10618</w:t>
              </w:r>
            </w:hyperlink>
          </w:p>
          <w:p w14:paraId="5BD7920F" w14:textId="77777777" w:rsidR="00771086" w:rsidRPr="00DB5740" w:rsidRDefault="005B5528" w:rsidP="00771086">
            <w:pPr>
              <w:pStyle w:val="BodyText"/>
              <w:spacing w:after="120"/>
            </w:pPr>
            <w:hyperlink r:id="rId61" w:history="1">
              <w:r w:rsidRPr="00761D33">
                <w:rPr>
                  <w:rStyle w:val="Hyperlink"/>
                </w:rPr>
                <w:t xml:space="preserve">Disclosure </w:t>
              </w:r>
              <w:r>
                <w:rPr>
                  <w:rStyle w:val="Hyperlink"/>
                </w:rPr>
                <w:t>Simplific</w:t>
              </w:r>
              <w:r w:rsidRPr="00761D33">
                <w:rPr>
                  <w:rStyle w:val="Hyperlink"/>
                </w:rPr>
                <w:t>ation, Round Two: A Deep Dive Into The SEC</w:t>
              </w:r>
              <w:r>
                <w:rPr>
                  <w:rStyle w:val="Hyperlink"/>
                </w:rPr>
                <w:t>’</w:t>
              </w:r>
              <w:r w:rsidRPr="00761D33">
                <w:rPr>
                  <w:rStyle w:val="Hyperlink"/>
                </w:rPr>
                <w:t>s New Amendments</w:t>
              </w:r>
            </w:hyperlink>
          </w:p>
        </w:tc>
        <w:tc>
          <w:tcPr>
            <w:tcW w:w="585" w:type="pct"/>
            <w:tcBorders>
              <w:top w:val="single" w:sz="4" w:space="0" w:color="auto"/>
              <w:left w:val="single" w:sz="4" w:space="0" w:color="auto"/>
              <w:bottom w:val="single" w:sz="4" w:space="0" w:color="auto"/>
              <w:right w:val="single" w:sz="4" w:space="0" w:color="auto"/>
            </w:tcBorders>
          </w:tcPr>
          <w:p w14:paraId="780B3C89" w14:textId="77777777" w:rsidR="00771086" w:rsidRPr="00DB5740" w:rsidRDefault="00771086" w:rsidP="00771086">
            <w:pPr>
              <w:pStyle w:val="BodyText"/>
              <w:spacing w:after="120"/>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621E53F8"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40884934"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5E2C35B6"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42E0D15B" w14:textId="77777777" w:rsidR="00771086" w:rsidRPr="00DB5740" w:rsidRDefault="005B5528" w:rsidP="00771086">
            <w:pPr>
              <w:pStyle w:val="BodyText"/>
            </w:pPr>
            <w:r w:rsidRPr="00DB5740">
              <w:lastRenderedPageBreak/>
              <w:t>Cybersecurity Disclosure – no location specified</w:t>
            </w:r>
          </w:p>
        </w:tc>
        <w:tc>
          <w:tcPr>
            <w:tcW w:w="584" w:type="pct"/>
            <w:tcBorders>
              <w:top w:val="single" w:sz="4" w:space="0" w:color="auto"/>
              <w:left w:val="single" w:sz="4" w:space="0" w:color="auto"/>
              <w:bottom w:val="single" w:sz="4" w:space="0" w:color="auto"/>
              <w:right w:val="single" w:sz="4" w:space="0" w:color="auto"/>
            </w:tcBorders>
          </w:tcPr>
          <w:p w14:paraId="45CC5C30" w14:textId="77777777" w:rsidR="00771086" w:rsidRPr="00DB5740" w:rsidRDefault="005B5528" w:rsidP="00771086">
            <w:pPr>
              <w:autoSpaceDE w:val="0"/>
              <w:autoSpaceDN w:val="0"/>
              <w:adjustRightInd w:val="0"/>
              <w:jc w:val="center"/>
            </w:pPr>
            <w:hyperlink r:id="rId62" w:history="1">
              <w:r w:rsidRPr="007E3A2B">
                <w:rPr>
                  <w:rStyle w:val="Hyperlink"/>
                </w:rPr>
                <w:t>CF Disclosure Guidance: Topic No. 2</w:t>
              </w:r>
            </w:hyperlink>
          </w:p>
          <w:p w14:paraId="4BF965E5" w14:textId="77777777" w:rsidR="00771086" w:rsidRDefault="005B5528" w:rsidP="00771086">
            <w:pPr>
              <w:pStyle w:val="BodyText"/>
              <w:spacing w:after="0"/>
              <w:jc w:val="center"/>
            </w:pPr>
            <w:r w:rsidRPr="00DB5740">
              <w:t>(October 13, 2011)</w:t>
            </w:r>
          </w:p>
          <w:p w14:paraId="39C6CE78" w14:textId="77777777" w:rsidR="00771086" w:rsidRDefault="00771086" w:rsidP="00771086">
            <w:pPr>
              <w:pStyle w:val="BodyText"/>
              <w:spacing w:after="0"/>
              <w:jc w:val="center"/>
            </w:pPr>
          </w:p>
          <w:p w14:paraId="1AEBA7FD" w14:textId="77777777" w:rsidR="00771086" w:rsidRDefault="005B5528" w:rsidP="00771086">
            <w:pPr>
              <w:pStyle w:val="BodyText"/>
              <w:spacing w:after="0"/>
              <w:jc w:val="center"/>
            </w:pPr>
            <w:hyperlink r:id="rId63" w:history="1">
              <w:r w:rsidRPr="00E709DF">
                <w:rPr>
                  <w:rStyle w:val="Hyperlink"/>
                </w:rPr>
                <w:t>Commission Statement and Guidance on Public Company Cybersecurity Disc</w:t>
              </w:r>
              <w:r w:rsidRPr="00E709DF">
                <w:rPr>
                  <w:rStyle w:val="Hyperlink"/>
                </w:rPr>
                <w:t>losures</w:t>
              </w:r>
            </w:hyperlink>
          </w:p>
          <w:p w14:paraId="5D9858F2" w14:textId="77777777" w:rsidR="00771086" w:rsidRPr="00DB5740" w:rsidRDefault="005B5528" w:rsidP="00771086">
            <w:pPr>
              <w:pStyle w:val="BodyText"/>
              <w:spacing w:after="0"/>
              <w:jc w:val="center"/>
            </w:pPr>
            <w:r>
              <w:t>(February 26, 2018)</w:t>
            </w:r>
          </w:p>
        </w:tc>
        <w:tc>
          <w:tcPr>
            <w:tcW w:w="1907" w:type="pct"/>
            <w:tcBorders>
              <w:top w:val="single" w:sz="4" w:space="0" w:color="auto"/>
              <w:left w:val="single" w:sz="4" w:space="0" w:color="auto"/>
              <w:bottom w:val="single" w:sz="4" w:space="0" w:color="auto"/>
              <w:right w:val="single" w:sz="4" w:space="0" w:color="auto"/>
            </w:tcBorders>
          </w:tcPr>
          <w:p w14:paraId="3899130E" w14:textId="77777777" w:rsidR="00771086" w:rsidRPr="00DB5740" w:rsidRDefault="005B5528" w:rsidP="00771086">
            <w:pPr>
              <w:autoSpaceDE w:val="0"/>
              <w:autoSpaceDN w:val="0"/>
              <w:adjustRightInd w:val="0"/>
              <w:spacing w:after="120"/>
            </w:pPr>
            <w:r w:rsidRPr="00DB5740">
              <w:t xml:space="preserve">Although no existing disclosure requirement explicitly refers to cybersecurity risks and cyber incidents, the SEC Division of Corporation Finance </w:t>
            </w:r>
            <w:r>
              <w:t>and the Commission have</w:t>
            </w:r>
            <w:r w:rsidRPr="00DB5740">
              <w:t xml:space="preserve"> reminded companies that several different disclosure requ</w:t>
            </w:r>
            <w:r w:rsidRPr="00DB5740">
              <w:t>irements may impose an obligation to disclose these risks and incidents.  In addition, material information regarding cybersecurity risks and cyber incidents is required to be disclosed when necessary in order to make other required disclosures, in light o</w:t>
            </w:r>
            <w:r w:rsidRPr="00DB5740">
              <w:t>f the circumstances under which they are made, not misleading.  Companies should therefore review, on an ongoing basis, the adequacy of their disclosure relating to cybersecurity risks and cyber-incidents in the following areas:</w:t>
            </w:r>
          </w:p>
          <w:p w14:paraId="637CE370" w14:textId="77777777" w:rsidR="00771086" w:rsidRPr="00DB5740" w:rsidRDefault="005B5528" w:rsidP="00771086">
            <w:pPr>
              <w:numPr>
                <w:ilvl w:val="0"/>
                <w:numId w:val="14"/>
              </w:numPr>
              <w:autoSpaceDE w:val="0"/>
              <w:autoSpaceDN w:val="0"/>
              <w:adjustRightInd w:val="0"/>
              <w:spacing w:after="120"/>
              <w:ind w:left="421"/>
            </w:pPr>
            <w:r w:rsidRPr="00DB5740">
              <w:t>Risk Factors</w:t>
            </w:r>
          </w:p>
          <w:p w14:paraId="492E3A58" w14:textId="77777777" w:rsidR="00771086" w:rsidRPr="00DB5740" w:rsidRDefault="005B5528" w:rsidP="00771086">
            <w:pPr>
              <w:numPr>
                <w:ilvl w:val="0"/>
                <w:numId w:val="23"/>
              </w:numPr>
              <w:autoSpaceDE w:val="0"/>
              <w:autoSpaceDN w:val="0"/>
              <w:adjustRightInd w:val="0"/>
              <w:spacing w:after="120"/>
              <w:ind w:left="421"/>
            </w:pPr>
            <w:r w:rsidRPr="00DB5740">
              <w:t>MD&amp;A</w:t>
            </w:r>
          </w:p>
          <w:p w14:paraId="0D812913" w14:textId="77777777" w:rsidR="00771086" w:rsidRPr="00DB5740" w:rsidRDefault="005B5528" w:rsidP="00771086">
            <w:pPr>
              <w:numPr>
                <w:ilvl w:val="0"/>
                <w:numId w:val="14"/>
              </w:numPr>
              <w:autoSpaceDE w:val="0"/>
              <w:autoSpaceDN w:val="0"/>
              <w:adjustRightInd w:val="0"/>
              <w:spacing w:after="120"/>
              <w:ind w:left="421"/>
            </w:pPr>
            <w:r w:rsidRPr="00DB5740">
              <w:t>Descripti</w:t>
            </w:r>
            <w:r w:rsidRPr="00DB5740">
              <w:t>on of Business</w:t>
            </w:r>
          </w:p>
          <w:p w14:paraId="2F116EFB" w14:textId="77777777" w:rsidR="00771086" w:rsidRPr="00DB5740" w:rsidRDefault="005B5528" w:rsidP="00771086">
            <w:pPr>
              <w:numPr>
                <w:ilvl w:val="0"/>
                <w:numId w:val="23"/>
              </w:numPr>
              <w:autoSpaceDE w:val="0"/>
              <w:autoSpaceDN w:val="0"/>
              <w:adjustRightInd w:val="0"/>
              <w:spacing w:after="120"/>
              <w:ind w:left="421"/>
            </w:pPr>
            <w:r w:rsidRPr="00DB5740">
              <w:t>Legal Proceedings</w:t>
            </w:r>
          </w:p>
          <w:p w14:paraId="4ADB6C0C" w14:textId="77777777" w:rsidR="00771086" w:rsidRPr="00DB5740" w:rsidRDefault="005B5528" w:rsidP="00771086">
            <w:pPr>
              <w:numPr>
                <w:ilvl w:val="0"/>
                <w:numId w:val="14"/>
              </w:numPr>
              <w:autoSpaceDE w:val="0"/>
              <w:autoSpaceDN w:val="0"/>
              <w:adjustRightInd w:val="0"/>
              <w:spacing w:after="120"/>
              <w:ind w:left="421"/>
            </w:pPr>
            <w:r w:rsidRPr="00DB5740">
              <w:t>Financial Statement disclosures</w:t>
            </w:r>
          </w:p>
          <w:p w14:paraId="5ECCF288" w14:textId="77777777" w:rsidR="00771086" w:rsidRPr="00DB5740" w:rsidRDefault="005B5528" w:rsidP="00771086">
            <w:pPr>
              <w:numPr>
                <w:ilvl w:val="0"/>
                <w:numId w:val="14"/>
              </w:numPr>
              <w:autoSpaceDE w:val="0"/>
              <w:autoSpaceDN w:val="0"/>
              <w:adjustRightInd w:val="0"/>
              <w:spacing w:after="120"/>
              <w:ind w:left="421"/>
              <w:rPr>
                <w:b/>
              </w:rPr>
            </w:pPr>
            <w:r w:rsidRPr="00DB5740">
              <w:t>Controls and Procedures</w:t>
            </w:r>
          </w:p>
        </w:tc>
        <w:tc>
          <w:tcPr>
            <w:tcW w:w="925" w:type="pct"/>
            <w:tcBorders>
              <w:top w:val="single" w:sz="4" w:space="0" w:color="auto"/>
              <w:left w:val="single" w:sz="4" w:space="0" w:color="auto"/>
              <w:bottom w:val="single" w:sz="4" w:space="0" w:color="auto"/>
              <w:right w:val="single" w:sz="4" w:space="0" w:color="auto"/>
            </w:tcBorders>
          </w:tcPr>
          <w:p w14:paraId="77813401" w14:textId="77777777" w:rsidR="00771086" w:rsidRPr="00DB5740" w:rsidRDefault="00771086" w:rsidP="00771086">
            <w:pPr>
              <w:pStyle w:val="BodyText"/>
              <w:spacing w:after="120"/>
            </w:pPr>
          </w:p>
        </w:tc>
        <w:tc>
          <w:tcPr>
            <w:tcW w:w="585" w:type="pct"/>
            <w:tcBorders>
              <w:top w:val="single" w:sz="4" w:space="0" w:color="auto"/>
              <w:left w:val="single" w:sz="4" w:space="0" w:color="auto"/>
              <w:bottom w:val="single" w:sz="4" w:space="0" w:color="auto"/>
              <w:right w:val="single" w:sz="4" w:space="0" w:color="auto"/>
            </w:tcBorders>
          </w:tcPr>
          <w:p w14:paraId="32B4FA15" w14:textId="77777777" w:rsidR="00771086" w:rsidRPr="00DB5740" w:rsidRDefault="00771086" w:rsidP="00771086">
            <w:pPr>
              <w:pStyle w:val="BodyText"/>
              <w:spacing w:after="120"/>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63EACADF"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4175C5A6"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3A258DC7"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61158119" w14:textId="77777777" w:rsidR="00771086" w:rsidRPr="00DB5740" w:rsidRDefault="005B5528" w:rsidP="00771086">
            <w:pPr>
              <w:pStyle w:val="BodyText"/>
            </w:pPr>
            <w:r w:rsidRPr="00DB5740">
              <w:t>Iran Disclosure – no location specified</w:t>
            </w:r>
          </w:p>
        </w:tc>
        <w:tc>
          <w:tcPr>
            <w:tcW w:w="584" w:type="pct"/>
            <w:tcBorders>
              <w:top w:val="single" w:sz="4" w:space="0" w:color="auto"/>
              <w:left w:val="single" w:sz="4" w:space="0" w:color="auto"/>
              <w:bottom w:val="single" w:sz="4" w:space="0" w:color="auto"/>
              <w:right w:val="single" w:sz="4" w:space="0" w:color="auto"/>
            </w:tcBorders>
          </w:tcPr>
          <w:p w14:paraId="11069133" w14:textId="77777777" w:rsidR="00771086" w:rsidRPr="00DB5740" w:rsidRDefault="005B5528" w:rsidP="00771086">
            <w:pPr>
              <w:autoSpaceDE w:val="0"/>
              <w:autoSpaceDN w:val="0"/>
              <w:adjustRightInd w:val="0"/>
              <w:jc w:val="center"/>
            </w:pPr>
            <w:r w:rsidRPr="00DB5740">
              <w:t>Exchange Act Section 13(r)</w:t>
            </w:r>
          </w:p>
        </w:tc>
        <w:tc>
          <w:tcPr>
            <w:tcW w:w="1907" w:type="pct"/>
            <w:tcBorders>
              <w:top w:val="single" w:sz="4" w:space="0" w:color="auto"/>
              <w:left w:val="single" w:sz="4" w:space="0" w:color="auto"/>
              <w:bottom w:val="single" w:sz="4" w:space="0" w:color="auto"/>
              <w:right w:val="single" w:sz="4" w:space="0" w:color="auto"/>
            </w:tcBorders>
          </w:tcPr>
          <w:p w14:paraId="43FD0155" w14:textId="77777777" w:rsidR="00771086" w:rsidRPr="00DB5740" w:rsidRDefault="005B5528" w:rsidP="00771086">
            <w:pPr>
              <w:autoSpaceDE w:val="0"/>
              <w:autoSpaceDN w:val="0"/>
              <w:adjustRightInd w:val="0"/>
              <w:spacing w:after="120"/>
            </w:pPr>
            <w:r w:rsidRPr="00DB5740">
              <w:t>The Iran Threat Reduction and Syria Human Rights Act of 2012 amended the Exchange Act</w:t>
            </w:r>
            <w:r w:rsidRPr="00DB5740">
              <w:t xml:space="preserve"> to require disclosure if the </w:t>
            </w:r>
            <w:r w:rsidRPr="00B005F9">
              <w:t xml:space="preserve">company </w:t>
            </w:r>
            <w:r w:rsidRPr="00B005F9">
              <w:rPr>
                <w:b/>
              </w:rPr>
              <w:t>or any of its affiliates</w:t>
            </w:r>
            <w:r w:rsidRPr="00B005F9">
              <w:t xml:space="preserve"> is knowingly engaged in one or more of a</w:t>
            </w:r>
            <w:r w:rsidRPr="00DB5740">
              <w:t xml:space="preserve"> variety of specified activities.</w:t>
            </w:r>
          </w:p>
          <w:p w14:paraId="5C28EF5F" w14:textId="77777777" w:rsidR="00771086" w:rsidRPr="00DB5740" w:rsidRDefault="005B5528" w:rsidP="00771086">
            <w:pPr>
              <w:autoSpaceDE w:val="0"/>
              <w:autoSpaceDN w:val="0"/>
              <w:adjustRightInd w:val="0"/>
              <w:spacing w:after="120"/>
            </w:pPr>
            <w:r w:rsidRPr="00DB5740">
              <w:t xml:space="preserve">If the company or an affiliate engaged in any of these activities during the period covered by any annual or quarterly </w:t>
            </w:r>
            <w:r w:rsidRPr="00DB5740">
              <w:t>report, it must provide specified detailed disclosure concerning the activity and file a notice with the SEC.</w:t>
            </w:r>
          </w:p>
        </w:tc>
        <w:tc>
          <w:tcPr>
            <w:tcW w:w="925" w:type="pct"/>
            <w:tcBorders>
              <w:top w:val="single" w:sz="4" w:space="0" w:color="auto"/>
              <w:left w:val="single" w:sz="4" w:space="0" w:color="auto"/>
              <w:bottom w:val="single" w:sz="4" w:space="0" w:color="auto"/>
              <w:right w:val="single" w:sz="4" w:space="0" w:color="auto"/>
            </w:tcBorders>
          </w:tcPr>
          <w:p w14:paraId="2973F305" w14:textId="77777777" w:rsidR="00771086" w:rsidRPr="00DB5740" w:rsidRDefault="00771086" w:rsidP="00771086">
            <w:pPr>
              <w:pStyle w:val="BodyText"/>
              <w:spacing w:after="120"/>
            </w:pPr>
          </w:p>
        </w:tc>
        <w:tc>
          <w:tcPr>
            <w:tcW w:w="585" w:type="pct"/>
            <w:tcBorders>
              <w:top w:val="single" w:sz="4" w:space="0" w:color="auto"/>
              <w:left w:val="single" w:sz="4" w:space="0" w:color="auto"/>
              <w:bottom w:val="single" w:sz="4" w:space="0" w:color="auto"/>
              <w:right w:val="single" w:sz="4" w:space="0" w:color="auto"/>
            </w:tcBorders>
          </w:tcPr>
          <w:p w14:paraId="603EC2AF" w14:textId="77777777" w:rsidR="00771086" w:rsidRPr="00DB5740" w:rsidRDefault="00771086" w:rsidP="00771086">
            <w:pPr>
              <w:pStyle w:val="BodyText"/>
              <w:spacing w:after="120"/>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62BF926F"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6A618483"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7F3B204E"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4DBCCC41" w14:textId="77777777" w:rsidR="00771086" w:rsidRPr="00DB5740" w:rsidRDefault="005B5528" w:rsidP="00771086">
            <w:pPr>
              <w:autoSpaceDE w:val="0"/>
              <w:autoSpaceDN w:val="0"/>
              <w:adjustRightInd w:val="0"/>
            </w:pPr>
            <w:r w:rsidRPr="00DB5740">
              <w:lastRenderedPageBreak/>
              <w:t>[Climate Change Disclosure – no location specified]</w:t>
            </w:r>
          </w:p>
          <w:p w14:paraId="5EF4C5F5" w14:textId="77777777" w:rsidR="00771086" w:rsidRPr="00DB5740" w:rsidRDefault="00771086" w:rsidP="00771086">
            <w:pPr>
              <w:autoSpaceDE w:val="0"/>
              <w:autoSpaceDN w:val="0"/>
              <w:adjustRightInd w:val="0"/>
            </w:pPr>
          </w:p>
          <w:p w14:paraId="6F5B3ADE" w14:textId="77777777" w:rsidR="00771086" w:rsidRPr="00DB5740" w:rsidRDefault="005B5528" w:rsidP="00771086">
            <w:pPr>
              <w:pStyle w:val="BodyText"/>
            </w:pPr>
            <w:r w:rsidRPr="00DB5740">
              <w:t xml:space="preserve">See also </w:t>
            </w:r>
            <w:r>
              <w:t>“</w:t>
            </w:r>
            <w:r w:rsidRPr="00DB5740">
              <w:t>Risk Factors</w:t>
            </w:r>
            <w:r>
              <w:t>”</w:t>
            </w:r>
            <w:r w:rsidRPr="00DB5740">
              <w:t xml:space="preserve"> (Form </w:t>
            </w:r>
            <w:r>
              <w:t>10</w:t>
            </w:r>
            <w:r>
              <w:noBreakHyphen/>
              <w:t>K</w:t>
            </w:r>
            <w:r w:rsidRPr="00DB5740">
              <w:t xml:space="preserve">, Item 1A), </w:t>
            </w:r>
            <w:r>
              <w:t>“</w:t>
            </w:r>
            <w:r w:rsidRPr="00DB5740">
              <w:t>Legal Proceedings</w:t>
            </w:r>
            <w:r>
              <w:t>”</w:t>
            </w:r>
            <w:r w:rsidRPr="00DB5740">
              <w:t xml:space="preserve"> (Form </w:t>
            </w:r>
            <w:r>
              <w:t>10</w:t>
            </w:r>
            <w:r>
              <w:noBreakHyphen/>
              <w:t>K</w:t>
            </w:r>
            <w:r w:rsidRPr="00DB5740">
              <w:t xml:space="preserve">, </w:t>
            </w:r>
            <w:r w:rsidRPr="00DB5740">
              <w:t xml:space="preserve">Item 3) and/or </w:t>
            </w:r>
            <w:r>
              <w:t>“</w:t>
            </w:r>
            <w:r w:rsidRPr="00DB5740">
              <w:t>Management</w:t>
            </w:r>
            <w:r>
              <w:t>’</w:t>
            </w:r>
            <w:r w:rsidRPr="00DB5740">
              <w:t>s Discussion and Analysis of Financial Condition and Results of Operations</w:t>
            </w:r>
            <w:r>
              <w:t>”</w:t>
            </w:r>
            <w:r w:rsidRPr="00DB5740">
              <w:t xml:space="preserve"> (Form </w:t>
            </w:r>
            <w:r>
              <w:t>10</w:t>
            </w:r>
            <w:r>
              <w:noBreakHyphen/>
              <w:t>K,</w:t>
            </w:r>
            <w:r w:rsidRPr="00DB5740">
              <w:t xml:space="preserve"> Item 7)</w:t>
            </w:r>
          </w:p>
        </w:tc>
        <w:tc>
          <w:tcPr>
            <w:tcW w:w="584" w:type="pct"/>
            <w:tcBorders>
              <w:top w:val="single" w:sz="4" w:space="0" w:color="auto"/>
              <w:left w:val="single" w:sz="4" w:space="0" w:color="auto"/>
              <w:bottom w:val="single" w:sz="4" w:space="0" w:color="auto"/>
              <w:right w:val="single" w:sz="4" w:space="0" w:color="auto"/>
            </w:tcBorders>
          </w:tcPr>
          <w:p w14:paraId="19EE41F3" w14:textId="77777777" w:rsidR="00771086" w:rsidRPr="00DB5740" w:rsidRDefault="005B5528" w:rsidP="00771086">
            <w:pPr>
              <w:autoSpaceDE w:val="0"/>
              <w:autoSpaceDN w:val="0"/>
              <w:adjustRightInd w:val="0"/>
              <w:jc w:val="center"/>
            </w:pPr>
            <w:r w:rsidRPr="00DB5740">
              <w:t>Item 101</w:t>
            </w:r>
          </w:p>
          <w:p w14:paraId="6464BEF2" w14:textId="77777777" w:rsidR="00771086" w:rsidRPr="00DB5740" w:rsidRDefault="00771086" w:rsidP="00771086">
            <w:pPr>
              <w:autoSpaceDE w:val="0"/>
              <w:autoSpaceDN w:val="0"/>
              <w:adjustRightInd w:val="0"/>
              <w:jc w:val="center"/>
            </w:pPr>
          </w:p>
          <w:p w14:paraId="07FE488C" w14:textId="77777777" w:rsidR="00771086" w:rsidRPr="00DB5740" w:rsidRDefault="005B5528" w:rsidP="00771086">
            <w:pPr>
              <w:autoSpaceDE w:val="0"/>
              <w:autoSpaceDN w:val="0"/>
              <w:adjustRightInd w:val="0"/>
              <w:jc w:val="center"/>
            </w:pPr>
            <w:r w:rsidRPr="00DB5740">
              <w:t>See also Item </w:t>
            </w:r>
            <w:r>
              <w:t>105</w:t>
            </w:r>
            <w:r w:rsidRPr="00DB5740">
              <w:t>, Item 103 and Item 303</w:t>
            </w:r>
          </w:p>
        </w:tc>
        <w:tc>
          <w:tcPr>
            <w:tcW w:w="1907" w:type="pct"/>
            <w:tcBorders>
              <w:top w:val="single" w:sz="4" w:space="0" w:color="auto"/>
              <w:left w:val="single" w:sz="4" w:space="0" w:color="auto"/>
              <w:bottom w:val="single" w:sz="4" w:space="0" w:color="auto"/>
              <w:right w:val="single" w:sz="4" w:space="0" w:color="auto"/>
            </w:tcBorders>
          </w:tcPr>
          <w:p w14:paraId="4131D549" w14:textId="77777777" w:rsidR="00771086" w:rsidRPr="00DB5740" w:rsidRDefault="005B5528" w:rsidP="00771086">
            <w:pPr>
              <w:pStyle w:val="BodyText"/>
              <w:spacing w:after="120"/>
              <w:rPr>
                <w:b/>
              </w:rPr>
            </w:pPr>
            <w:r w:rsidRPr="00DB5740">
              <w:rPr>
                <w:b/>
              </w:rPr>
              <w:t>Cl</w:t>
            </w:r>
            <w:r>
              <w:rPr>
                <w:b/>
              </w:rPr>
              <w:t>im</w:t>
            </w:r>
            <w:r w:rsidRPr="00DB5740">
              <w:rPr>
                <w:b/>
              </w:rPr>
              <w:t xml:space="preserve">ate Change </w:t>
            </w:r>
            <w:r>
              <w:rPr>
                <w:b/>
              </w:rPr>
              <w:t>Di</w:t>
            </w:r>
            <w:r w:rsidRPr="00DB5740">
              <w:rPr>
                <w:b/>
              </w:rPr>
              <w:t>sclosure</w:t>
            </w:r>
          </w:p>
          <w:p w14:paraId="2FD034BA" w14:textId="77777777" w:rsidR="00771086" w:rsidRPr="00DB5740" w:rsidRDefault="005B5528" w:rsidP="00771086">
            <w:pPr>
              <w:pStyle w:val="BodyText"/>
              <w:spacing w:after="120"/>
            </w:pPr>
            <w:r w:rsidRPr="00DB5740">
              <w:t>On February 2</w:t>
            </w:r>
            <w:r>
              <w:t xml:space="preserve">, </w:t>
            </w:r>
            <w:r w:rsidRPr="00DB5740">
              <w:t>2010, the SEC pu</w:t>
            </w:r>
            <w:r>
              <w:t>bl</w:t>
            </w:r>
            <w:r w:rsidRPr="00DB5740">
              <w:t xml:space="preserve">ished an </w:t>
            </w:r>
            <w:hyperlink r:id="rId64" w:history="1">
              <w:r w:rsidRPr="001E33B5">
                <w:rPr>
                  <w:rStyle w:val="Hyperlink"/>
                </w:rPr>
                <w:t>interpretive relea</w:t>
              </w:r>
              <w:r>
                <w:rPr>
                  <w:rStyle w:val="Hyperlink"/>
                </w:rPr>
                <w:t>s</w:t>
              </w:r>
              <w:r w:rsidRPr="001E33B5">
                <w:rPr>
                  <w:rStyle w:val="Hyperlink"/>
                </w:rPr>
                <w:t>e</w:t>
              </w:r>
            </w:hyperlink>
            <w:r w:rsidRPr="00DB5740">
              <w:t xml:space="preserve"> that provides guidance to public companies regarding existing SEC disclosure requir</w:t>
            </w:r>
            <w:r>
              <w:t>e</w:t>
            </w:r>
            <w:r w:rsidRPr="00DB5740">
              <w:t>ments relating to climate change matters.  Without limiting the types of bus</w:t>
            </w:r>
            <w:r>
              <w:t>i</w:t>
            </w:r>
            <w:r w:rsidRPr="00DB5740">
              <w:t xml:space="preserve">nesses that </w:t>
            </w:r>
            <w:r>
              <w:t>m</w:t>
            </w:r>
            <w:r w:rsidRPr="00DB5740">
              <w:t>ay be af</w:t>
            </w:r>
            <w:r w:rsidRPr="00DB5740">
              <w:t>fected, the rel</w:t>
            </w:r>
            <w:r>
              <w:t>e</w:t>
            </w:r>
            <w:r w:rsidRPr="00DB5740">
              <w:t xml:space="preserve">ase specifically </w:t>
            </w:r>
            <w:r>
              <w:t>m</w:t>
            </w:r>
            <w:r w:rsidRPr="00DB5740">
              <w:t>entions companies in the ene</w:t>
            </w:r>
            <w:r>
              <w:t>r</w:t>
            </w:r>
            <w:r w:rsidRPr="00DB5740">
              <w:t xml:space="preserve">gy, transportation and agriculture sectors, insurance companies, lenders, businesses </w:t>
            </w:r>
            <w:r>
              <w:t>l</w:t>
            </w:r>
            <w:r w:rsidRPr="00DB5740">
              <w:t>ocated in coastal areas or otherwise affected by severe weather, and businesses whose environmental reputat</w:t>
            </w:r>
            <w:r w:rsidRPr="00DB5740">
              <w:t>ion is relevant to their business operations or financial performance.</w:t>
            </w:r>
          </w:p>
          <w:p w14:paraId="618389ED" w14:textId="77777777" w:rsidR="00771086" w:rsidRPr="00DB5740" w:rsidRDefault="005B5528" w:rsidP="00771086">
            <w:pPr>
              <w:pStyle w:val="BodyText"/>
              <w:spacing w:after="120"/>
            </w:pPr>
            <w:r w:rsidRPr="00DB5740">
              <w:t>The release describes four topics for climate change disclosure:</w:t>
            </w:r>
          </w:p>
          <w:p w14:paraId="0E4F3872" w14:textId="77777777" w:rsidR="00771086" w:rsidRPr="00DB5740" w:rsidRDefault="005B5528" w:rsidP="00771086">
            <w:pPr>
              <w:numPr>
                <w:ilvl w:val="0"/>
                <w:numId w:val="14"/>
              </w:numPr>
              <w:autoSpaceDE w:val="0"/>
              <w:autoSpaceDN w:val="0"/>
              <w:adjustRightInd w:val="0"/>
              <w:spacing w:after="120"/>
              <w:ind w:left="421"/>
            </w:pPr>
            <w:r w:rsidRPr="00DB5740">
              <w:t>the impact of existing and pending legislation and regulation;</w:t>
            </w:r>
          </w:p>
          <w:p w14:paraId="10351DBF" w14:textId="77777777" w:rsidR="00771086" w:rsidRPr="00DB5740" w:rsidRDefault="005B5528" w:rsidP="00771086">
            <w:pPr>
              <w:numPr>
                <w:ilvl w:val="0"/>
                <w:numId w:val="14"/>
              </w:numPr>
              <w:autoSpaceDE w:val="0"/>
              <w:autoSpaceDN w:val="0"/>
              <w:adjustRightInd w:val="0"/>
              <w:spacing w:after="120"/>
              <w:ind w:left="421"/>
            </w:pPr>
            <w:r w:rsidRPr="00DB5740">
              <w:t>the business effects of international accords and treatie</w:t>
            </w:r>
            <w:r w:rsidRPr="00DB5740">
              <w:t xml:space="preserve">s relating to climate change or greenhouse gas emissions; </w:t>
            </w:r>
          </w:p>
          <w:p w14:paraId="60C2E1EE" w14:textId="77777777" w:rsidR="00771086" w:rsidRPr="00DB5740" w:rsidRDefault="005B5528" w:rsidP="00771086">
            <w:pPr>
              <w:numPr>
                <w:ilvl w:val="0"/>
                <w:numId w:val="14"/>
              </w:numPr>
              <w:autoSpaceDE w:val="0"/>
              <w:autoSpaceDN w:val="0"/>
              <w:adjustRightInd w:val="0"/>
              <w:spacing w:after="120"/>
              <w:ind w:left="421"/>
            </w:pPr>
            <w:r w:rsidRPr="00DB5740">
              <w:t>the actual and potential indirect consequences of climate change regulation or business trends; and</w:t>
            </w:r>
          </w:p>
          <w:p w14:paraId="2F62547C" w14:textId="77777777" w:rsidR="00771086" w:rsidRDefault="005B5528" w:rsidP="00771086">
            <w:pPr>
              <w:numPr>
                <w:ilvl w:val="0"/>
                <w:numId w:val="14"/>
              </w:numPr>
              <w:autoSpaceDE w:val="0"/>
              <w:autoSpaceDN w:val="0"/>
              <w:adjustRightInd w:val="0"/>
              <w:spacing w:after="120"/>
              <w:ind w:left="421"/>
            </w:pPr>
            <w:r w:rsidRPr="00DB5740">
              <w:t>the actual and potential impacts of the physical effects of climate change on the company</w:t>
            </w:r>
            <w:r>
              <w:t>’</w:t>
            </w:r>
            <w:r w:rsidRPr="00DB5740">
              <w:t>s busin</w:t>
            </w:r>
            <w:r w:rsidRPr="00DB5740">
              <w:t xml:space="preserve">ess. </w:t>
            </w:r>
          </w:p>
          <w:p w14:paraId="6A4FD789" w14:textId="77777777" w:rsidR="00771086" w:rsidRPr="00DB5740" w:rsidRDefault="005B5528" w:rsidP="00771086">
            <w:pPr>
              <w:autoSpaceDE w:val="0"/>
              <w:autoSpaceDN w:val="0"/>
              <w:adjustRightInd w:val="0"/>
              <w:spacing w:after="120"/>
            </w:pPr>
            <w:r>
              <w:rPr>
                <w:rFonts w:cs="Calibri"/>
              </w:rPr>
              <w:t>In addition, on S</w:t>
            </w:r>
            <w:r w:rsidRPr="00DB5740">
              <w:rPr>
                <w:rFonts w:cs="Calibri"/>
              </w:rPr>
              <w:t>eptember 22, 2021, the Staff of the Division of Corporation Finance published a </w:t>
            </w:r>
            <w:hyperlink r:id="rId65" w:history="1">
              <w:r w:rsidRPr="00DB5740">
                <w:rPr>
                  <w:rStyle w:val="Hyperlink"/>
                  <w:rFonts w:cs="Calibri"/>
                </w:rPr>
                <w:t>sample comment letter</w:t>
              </w:r>
            </w:hyperlink>
            <w:r w:rsidRPr="00DB5740">
              <w:rPr>
                <w:rFonts w:cs="Calibri"/>
              </w:rPr>
              <w:t xml:space="preserve"> on cl</w:t>
            </w:r>
            <w:r w:rsidRPr="00DB5740">
              <w:rPr>
                <w:rFonts w:cs="Calibri"/>
              </w:rPr>
              <w:t>imate change disclosures</w:t>
            </w:r>
            <w:r>
              <w:rPr>
                <w:rFonts w:cs="Calibri"/>
              </w:rPr>
              <w:t xml:space="preserve">.  The Staff has been sending comment letters to companies based on the sample comment letter.  </w:t>
            </w:r>
          </w:p>
        </w:tc>
        <w:tc>
          <w:tcPr>
            <w:tcW w:w="925" w:type="pct"/>
            <w:tcBorders>
              <w:top w:val="single" w:sz="4" w:space="0" w:color="auto"/>
              <w:left w:val="single" w:sz="4" w:space="0" w:color="auto"/>
              <w:bottom w:val="single" w:sz="4" w:space="0" w:color="auto"/>
              <w:right w:val="single" w:sz="4" w:space="0" w:color="auto"/>
            </w:tcBorders>
          </w:tcPr>
          <w:p w14:paraId="140C8F58" w14:textId="77777777" w:rsidR="00771086" w:rsidRPr="00DB5740" w:rsidRDefault="00771086" w:rsidP="00771086">
            <w:pPr>
              <w:pStyle w:val="BodyText"/>
              <w:spacing w:after="120"/>
            </w:pPr>
          </w:p>
        </w:tc>
        <w:tc>
          <w:tcPr>
            <w:tcW w:w="585" w:type="pct"/>
            <w:tcBorders>
              <w:top w:val="single" w:sz="4" w:space="0" w:color="auto"/>
              <w:left w:val="single" w:sz="4" w:space="0" w:color="auto"/>
              <w:bottom w:val="single" w:sz="4" w:space="0" w:color="auto"/>
              <w:right w:val="single" w:sz="4" w:space="0" w:color="auto"/>
            </w:tcBorders>
          </w:tcPr>
          <w:p w14:paraId="40E3DE03" w14:textId="77777777" w:rsidR="00771086" w:rsidRPr="00DB5740" w:rsidRDefault="00771086" w:rsidP="00771086">
            <w:pPr>
              <w:pStyle w:val="BodyText"/>
              <w:spacing w:after="120"/>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0C8F807"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38DFDD57"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07516663" w14:textId="77777777" w:rsidTr="00DB5740">
        <w:trPr>
          <w:cantSplit/>
          <w:jc w:val="center"/>
        </w:trPr>
        <w:tc>
          <w:tcPr>
            <w:tcW w:w="5000" w:type="pct"/>
            <w:gridSpan w:val="7"/>
            <w:tcBorders>
              <w:bottom w:val="single" w:sz="4" w:space="0" w:color="auto"/>
            </w:tcBorders>
            <w:shd w:val="clear" w:color="auto" w:fill="D9D9D9"/>
          </w:tcPr>
          <w:p w14:paraId="1A534381" w14:textId="77777777" w:rsidR="00771086" w:rsidRPr="00DB5740" w:rsidRDefault="005B5528" w:rsidP="00771086">
            <w:pPr>
              <w:keepNext/>
              <w:keepLines/>
              <w:autoSpaceDE w:val="0"/>
              <w:autoSpaceDN w:val="0"/>
              <w:adjustRightInd w:val="0"/>
              <w:spacing w:after="120"/>
              <w:jc w:val="center"/>
              <w:rPr>
                <w:b/>
                <w:bCs/>
                <w:iCs/>
              </w:rPr>
            </w:pPr>
            <w:r w:rsidRPr="00DB5740">
              <w:rPr>
                <w:b/>
                <w:bCs/>
                <w:iCs/>
              </w:rPr>
              <w:lastRenderedPageBreak/>
              <w:t>Item 1. Business.</w:t>
            </w:r>
          </w:p>
        </w:tc>
      </w:tr>
      <w:tr w:rsidR="00000000" w14:paraId="2015A718" w14:textId="77777777" w:rsidTr="00BF4090">
        <w:trPr>
          <w:cantSplit/>
          <w:jc w:val="center"/>
        </w:trPr>
        <w:tc>
          <w:tcPr>
            <w:tcW w:w="685" w:type="pct"/>
            <w:tcBorders>
              <w:bottom w:val="single" w:sz="4" w:space="0" w:color="auto"/>
            </w:tcBorders>
          </w:tcPr>
          <w:p w14:paraId="58D1921F" w14:textId="77777777" w:rsidR="00771086" w:rsidRPr="00DB5740" w:rsidRDefault="005B5528" w:rsidP="00771086">
            <w:pPr>
              <w:autoSpaceDE w:val="0"/>
              <w:autoSpaceDN w:val="0"/>
              <w:adjustRightInd w:val="0"/>
            </w:pPr>
            <w:r w:rsidRPr="00DB5740">
              <w:t>Item 1. Business</w:t>
            </w:r>
          </w:p>
        </w:tc>
        <w:tc>
          <w:tcPr>
            <w:tcW w:w="584" w:type="pct"/>
            <w:tcBorders>
              <w:bottom w:val="single" w:sz="4" w:space="0" w:color="auto"/>
            </w:tcBorders>
          </w:tcPr>
          <w:p w14:paraId="7ADF84E7" w14:textId="77777777" w:rsidR="00771086" w:rsidRPr="00DB5740" w:rsidRDefault="005B5528" w:rsidP="00771086">
            <w:pPr>
              <w:pStyle w:val="BodyText"/>
              <w:spacing w:after="120"/>
              <w:jc w:val="center"/>
            </w:pPr>
            <w:hyperlink r:id="rId66" w:anchor="229.101" w:history="1">
              <w:r w:rsidRPr="00DB5740">
                <w:rPr>
                  <w:rStyle w:val="Hyperlink"/>
                </w:rPr>
                <w:t>101</w:t>
              </w:r>
              <w:bookmarkStart w:id="37" w:name="_Hlt93998995"/>
              <w:bookmarkStart w:id="38" w:name="_Hlt93998996"/>
              <w:r w:rsidRPr="00DB5740">
                <w:rPr>
                  <w:rStyle w:val="Hyperlink"/>
                </w:rPr>
                <w:t>(</w:t>
              </w:r>
              <w:bookmarkEnd w:id="37"/>
              <w:bookmarkEnd w:id="38"/>
              <w:r w:rsidRPr="00DB5740">
                <w:rPr>
                  <w:rStyle w:val="Hyperlink"/>
                </w:rPr>
                <w:t>a)</w:t>
              </w:r>
            </w:hyperlink>
          </w:p>
        </w:tc>
        <w:tc>
          <w:tcPr>
            <w:tcW w:w="1907" w:type="pct"/>
            <w:tcBorders>
              <w:bottom w:val="single" w:sz="4" w:space="0" w:color="auto"/>
            </w:tcBorders>
          </w:tcPr>
          <w:p w14:paraId="6BFA835B" w14:textId="77777777" w:rsidR="00771086" w:rsidRPr="00F63E28" w:rsidRDefault="005B5528" w:rsidP="00771086">
            <w:pPr>
              <w:pStyle w:val="BodyText"/>
              <w:spacing w:after="120"/>
            </w:pPr>
            <w:r w:rsidRPr="00F63E28">
              <w:rPr>
                <w:b/>
                <w:bCs/>
              </w:rPr>
              <w:t>General development of business.</w:t>
            </w:r>
            <w:r w:rsidRPr="00F63E28">
              <w:t xml:space="preserve">  Describe the general development of the company</w:t>
            </w:r>
            <w:r>
              <w:t>’</w:t>
            </w:r>
            <w:r w:rsidRPr="00F63E28">
              <w:t xml:space="preserve">s business, including material changes in business strategy and the nature and effects of material events and transactions.  </w:t>
            </w:r>
          </w:p>
          <w:p w14:paraId="048E3A91" w14:textId="77777777" w:rsidR="00771086" w:rsidRPr="00F63E28" w:rsidRDefault="005B5528" w:rsidP="00771086">
            <w:pPr>
              <w:pStyle w:val="BodyText"/>
              <w:spacing w:after="120"/>
            </w:pPr>
            <w:r w:rsidRPr="00F63E28">
              <w:rPr>
                <w:b/>
                <w:bCs/>
              </w:rPr>
              <w:t xml:space="preserve">Full year required: </w:t>
            </w:r>
            <w:r w:rsidRPr="00F63E28">
              <w:t>although Item 101</w:t>
            </w:r>
            <w:r w:rsidRPr="00F63E28">
              <w:t xml:space="preserve">(a) permits a company to provide only an update since the most recent report or registration statement that contained a full discussion, Form </w:t>
            </w:r>
            <w:r>
              <w:t>10</w:t>
            </w:r>
            <w:r>
              <w:noBreakHyphen/>
              <w:t>K</w:t>
            </w:r>
            <w:r w:rsidRPr="00F63E28">
              <w:t xml:space="preserve"> requires that this discussion cover the full year period covered by the report.</w:t>
            </w:r>
          </w:p>
          <w:p w14:paraId="5F696D91" w14:textId="77777777" w:rsidR="00771086" w:rsidRPr="00F63E28" w:rsidRDefault="005B5528" w:rsidP="00771086">
            <w:pPr>
              <w:pStyle w:val="BodyText"/>
              <w:spacing w:after="120"/>
            </w:pPr>
            <w:r>
              <w:t xml:space="preserve">If there are </w:t>
            </w:r>
            <w:r>
              <w:rPr>
                <w:b/>
                <w:bCs/>
              </w:rPr>
              <w:t>up</w:t>
            </w:r>
            <w:r w:rsidRPr="00F63E28">
              <w:rPr>
                <w:b/>
                <w:bCs/>
              </w:rPr>
              <w:t xml:space="preserve">dates </w:t>
            </w:r>
            <w:r w:rsidRPr="00F63E28">
              <w:t>that sup</w:t>
            </w:r>
            <w:r w:rsidRPr="00F63E28">
              <w:t xml:space="preserve">plement the one-year Form </w:t>
            </w:r>
            <w:r>
              <w:t>10</w:t>
            </w:r>
            <w:r>
              <w:noBreakHyphen/>
              <w:t>K</w:t>
            </w:r>
            <w:r w:rsidRPr="00F63E28">
              <w:t xml:space="preserve"> disclosure</w:t>
            </w:r>
            <w:r>
              <w:t>, such updates</w:t>
            </w:r>
            <w:r w:rsidRPr="00F63E28">
              <w:t xml:space="preserve"> must:</w:t>
            </w:r>
          </w:p>
          <w:p w14:paraId="6A9D49E9" w14:textId="77777777" w:rsidR="00771086" w:rsidRPr="00DB5740" w:rsidRDefault="005B5528" w:rsidP="00771086">
            <w:pPr>
              <w:numPr>
                <w:ilvl w:val="0"/>
                <w:numId w:val="14"/>
              </w:numPr>
              <w:autoSpaceDE w:val="0"/>
              <w:autoSpaceDN w:val="0"/>
              <w:adjustRightInd w:val="0"/>
              <w:spacing w:after="120"/>
              <w:ind w:left="421"/>
              <w:rPr>
                <w:szCs w:val="24"/>
              </w:rPr>
            </w:pPr>
            <w:r w:rsidRPr="00F63E28">
              <w:t>inc</w:t>
            </w:r>
            <w:r w:rsidRPr="00F63E28">
              <w:rPr>
                <w:szCs w:val="24"/>
              </w:rPr>
              <w:t>orporate by reference the</w:t>
            </w:r>
            <w:r w:rsidRPr="00DB5740">
              <w:rPr>
                <w:szCs w:val="24"/>
              </w:rPr>
              <w:t xml:space="preserve"> most recent full discussion, and</w:t>
            </w:r>
          </w:p>
          <w:p w14:paraId="2F29619D" w14:textId="77777777" w:rsidR="00771086" w:rsidRPr="00DB5740" w:rsidRDefault="005B5528" w:rsidP="00771086">
            <w:pPr>
              <w:numPr>
                <w:ilvl w:val="0"/>
                <w:numId w:val="14"/>
              </w:numPr>
              <w:autoSpaceDE w:val="0"/>
              <w:autoSpaceDN w:val="0"/>
              <w:adjustRightInd w:val="0"/>
              <w:spacing w:after="120"/>
              <w:ind w:left="421"/>
            </w:pPr>
            <w:r w:rsidRPr="00DB5740">
              <w:rPr>
                <w:szCs w:val="24"/>
              </w:rPr>
              <w:t xml:space="preserve">include a single </w:t>
            </w:r>
            <w:r w:rsidRPr="00DB5740">
              <w:t>active hyperlink to one report or registration statement that includes the full discussion.</w:t>
            </w:r>
          </w:p>
          <w:p w14:paraId="61928213" w14:textId="77777777" w:rsidR="00771086" w:rsidRPr="00DB5740" w:rsidRDefault="005B5528" w:rsidP="00771086">
            <w:pPr>
              <w:pStyle w:val="BodyText"/>
              <w:spacing w:after="120"/>
            </w:pPr>
            <w:r w:rsidRPr="00DB5740">
              <w:t xml:space="preserve">Item 101(a) includes a </w:t>
            </w:r>
            <w:r w:rsidRPr="00DB5740">
              <w:t>non-exclusive list of disclosure topics that should be considered in connection with review of this section, including (1) bankruptcy or similar proceedings, (2) material reclassification or mergers, (3) acquisitions or dispositions of a material amount of</w:t>
            </w:r>
            <w:r w:rsidRPr="00DB5740">
              <w:t xml:space="preserve"> assets and (4) material changes to a previously disclosed business strategy.</w:t>
            </w:r>
          </w:p>
        </w:tc>
        <w:tc>
          <w:tcPr>
            <w:tcW w:w="925" w:type="pct"/>
            <w:tcBorders>
              <w:bottom w:val="single" w:sz="4" w:space="0" w:color="auto"/>
            </w:tcBorders>
          </w:tcPr>
          <w:p w14:paraId="4C94FC07" w14:textId="77777777" w:rsidR="00771086" w:rsidRPr="00DB5740" w:rsidRDefault="005B5528" w:rsidP="00771086">
            <w:pPr>
              <w:pStyle w:val="BodyText"/>
              <w:keepNext/>
              <w:keepLines/>
              <w:spacing w:after="120"/>
            </w:pPr>
            <w:r w:rsidRPr="00DB5740">
              <w:t xml:space="preserve">For a discussion of the 2018 </w:t>
            </w:r>
            <w:r w:rsidRPr="00BA34FE">
              <w:t xml:space="preserve">amendments to Item 101, refer to </w:t>
            </w:r>
            <w:hyperlink r:id="rId67" w:history="1">
              <w:r w:rsidRPr="00BA34FE">
                <w:rPr>
                  <w:rStyle w:val="Hyperlink"/>
                </w:rPr>
                <w:t>SEC Adopts</w:t>
              </w:r>
              <w:r w:rsidRPr="00BA34FE">
                <w:rPr>
                  <w:rStyle w:val="Hyperlink"/>
                </w:rPr>
                <w:t xml:space="preserve"> First Steps in Disclosure S</w:t>
              </w:r>
              <w:bookmarkStart w:id="39" w:name="_Hlt94000014"/>
              <w:bookmarkStart w:id="40" w:name="_Hlt94000015"/>
              <w:r w:rsidRPr="00BA34FE">
                <w:rPr>
                  <w:rStyle w:val="Hyperlink"/>
                </w:rPr>
                <w:t>i</w:t>
              </w:r>
              <w:bookmarkEnd w:id="39"/>
              <w:bookmarkEnd w:id="40"/>
              <w:r w:rsidRPr="00BA34FE">
                <w:rPr>
                  <w:rStyle w:val="Hyperlink"/>
                </w:rPr>
                <w:t>mplification</w:t>
              </w:r>
            </w:hyperlink>
            <w:r w:rsidRPr="00BA34FE">
              <w:t xml:space="preserve"> (Goodwin alert</w:t>
            </w:r>
            <w:r w:rsidRPr="00DB5740">
              <w:t>)</w:t>
            </w:r>
          </w:p>
        </w:tc>
        <w:tc>
          <w:tcPr>
            <w:tcW w:w="585" w:type="pct"/>
            <w:tcBorders>
              <w:bottom w:val="single" w:sz="4" w:space="0" w:color="auto"/>
            </w:tcBorders>
          </w:tcPr>
          <w:p w14:paraId="0A956C51" w14:textId="77777777" w:rsidR="00771086" w:rsidRPr="00DB5740" w:rsidRDefault="00771086" w:rsidP="00771086">
            <w:pPr>
              <w:keepNext/>
              <w:keepLines/>
              <w:autoSpaceDE w:val="0"/>
              <w:autoSpaceDN w:val="0"/>
              <w:adjustRightInd w:val="0"/>
            </w:pPr>
          </w:p>
        </w:tc>
        <w:tc>
          <w:tcPr>
            <w:tcW w:w="314" w:type="pct"/>
            <w:gridSpan w:val="2"/>
            <w:tcBorders>
              <w:bottom w:val="single" w:sz="4" w:space="0" w:color="auto"/>
            </w:tcBorders>
            <w:vAlign w:val="center"/>
          </w:tcPr>
          <w:p w14:paraId="216915C0" w14:textId="77777777" w:rsidR="00771086" w:rsidRPr="00DB5740" w:rsidRDefault="005B5528" w:rsidP="00771086">
            <w:pPr>
              <w:keepNext/>
              <w:keepLines/>
              <w:jc w:val="center"/>
            </w:pPr>
            <w:r w:rsidRPr="00DB5740">
              <w:t xml:space="preserve">Yes </w:t>
            </w:r>
            <w:r w:rsidRPr="00DB5740">
              <w:rPr>
                <w:rFonts w:ascii="Segoe UI Symbol" w:eastAsia="MS Gothic" w:hAnsi="Segoe UI Symbol" w:cs="Segoe UI Symbol"/>
              </w:rPr>
              <w:t>☐</w:t>
            </w:r>
          </w:p>
          <w:p w14:paraId="577434AD" w14:textId="77777777" w:rsidR="00771086" w:rsidRPr="00DB5740" w:rsidRDefault="005B5528" w:rsidP="00771086">
            <w:pPr>
              <w:keepNext/>
              <w:keepLines/>
              <w:autoSpaceDE w:val="0"/>
              <w:autoSpaceDN w:val="0"/>
              <w:adjustRightInd w:val="0"/>
              <w:jc w:val="center"/>
              <w:rPr>
                <w:i/>
              </w:rPr>
            </w:pPr>
            <w:r w:rsidRPr="00DB5740">
              <w:t xml:space="preserve">No  </w:t>
            </w:r>
            <w:r w:rsidRPr="00DB5740">
              <w:rPr>
                <w:rFonts w:ascii="Segoe UI Symbol" w:eastAsia="MS Gothic" w:hAnsi="Segoe UI Symbol" w:cs="Segoe UI Symbol"/>
              </w:rPr>
              <w:t>☐</w:t>
            </w:r>
          </w:p>
        </w:tc>
      </w:tr>
      <w:tr w:rsidR="00000000" w14:paraId="371B3106" w14:textId="77777777" w:rsidTr="00BF4090">
        <w:trPr>
          <w:cantSplit/>
          <w:jc w:val="center"/>
        </w:trPr>
        <w:tc>
          <w:tcPr>
            <w:tcW w:w="685" w:type="pct"/>
            <w:tcBorders>
              <w:bottom w:val="single" w:sz="4" w:space="0" w:color="auto"/>
            </w:tcBorders>
          </w:tcPr>
          <w:p w14:paraId="79B7F9D0" w14:textId="77777777" w:rsidR="00771086" w:rsidRPr="00DB5740" w:rsidRDefault="00771086" w:rsidP="00771086">
            <w:pPr>
              <w:autoSpaceDE w:val="0"/>
              <w:autoSpaceDN w:val="0"/>
              <w:adjustRightInd w:val="0"/>
            </w:pPr>
          </w:p>
        </w:tc>
        <w:tc>
          <w:tcPr>
            <w:tcW w:w="584" w:type="pct"/>
            <w:tcBorders>
              <w:bottom w:val="single" w:sz="4" w:space="0" w:color="auto"/>
            </w:tcBorders>
          </w:tcPr>
          <w:p w14:paraId="21F7A650" w14:textId="77777777" w:rsidR="00771086" w:rsidRPr="00DB5740" w:rsidRDefault="00771086" w:rsidP="00771086">
            <w:pPr>
              <w:pStyle w:val="BodyText"/>
              <w:spacing w:after="120"/>
              <w:jc w:val="center"/>
            </w:pPr>
          </w:p>
        </w:tc>
        <w:tc>
          <w:tcPr>
            <w:tcW w:w="1907" w:type="pct"/>
            <w:tcBorders>
              <w:bottom w:val="single" w:sz="4" w:space="0" w:color="auto"/>
            </w:tcBorders>
          </w:tcPr>
          <w:p w14:paraId="34B40761" w14:textId="77777777" w:rsidR="00771086" w:rsidRPr="00DB5740" w:rsidRDefault="005B5528" w:rsidP="00771086">
            <w:pPr>
              <w:pStyle w:val="BodyText"/>
              <w:spacing w:after="120"/>
            </w:pPr>
            <w:r w:rsidRPr="00DB5740">
              <w:rPr>
                <w:b/>
                <w:bCs/>
              </w:rPr>
              <w:t xml:space="preserve">Business </w:t>
            </w:r>
            <w:r>
              <w:rPr>
                <w:b/>
                <w:bCs/>
              </w:rPr>
              <w:t>“</w:t>
            </w:r>
            <w:r w:rsidRPr="00DB5740">
              <w:rPr>
                <w:b/>
                <w:bCs/>
              </w:rPr>
              <w:t>Updates</w:t>
            </w:r>
            <w:r>
              <w:rPr>
                <w:b/>
                <w:bCs/>
              </w:rPr>
              <w:t>”</w:t>
            </w:r>
            <w:r w:rsidRPr="00DB5740">
              <w:rPr>
                <w:b/>
                <w:bCs/>
              </w:rPr>
              <w:t xml:space="preserve"> and Incorporation by Reference (Form S</w:t>
            </w:r>
            <w:r>
              <w:rPr>
                <w:b/>
                <w:bCs/>
              </w:rPr>
              <w:noBreakHyphen/>
            </w:r>
            <w:r w:rsidRPr="00DB5740">
              <w:rPr>
                <w:b/>
                <w:bCs/>
              </w:rPr>
              <w:t>3 Registration Statements)</w:t>
            </w:r>
          </w:p>
          <w:p w14:paraId="798BF68A" w14:textId="77777777" w:rsidR="00771086" w:rsidRPr="00DB5740" w:rsidRDefault="005B5528" w:rsidP="00771086">
            <w:pPr>
              <w:pStyle w:val="BodyText"/>
              <w:spacing w:after="120"/>
            </w:pPr>
            <w:r w:rsidRPr="00DB5740">
              <w:t>Before adopting the updating approach permitted by Item 101(a), companies should review with cou</w:t>
            </w:r>
            <w:r w:rsidRPr="00DB5740">
              <w:t>nsel the potential impact on disclosure incorporated by reference into the company</w:t>
            </w:r>
            <w:r>
              <w:t>’</w:t>
            </w:r>
            <w:r w:rsidRPr="00DB5740">
              <w:t>s Form S</w:t>
            </w:r>
            <w:r>
              <w:t>-</w:t>
            </w:r>
            <w:r w:rsidRPr="00DB5740">
              <w:t>3 regis</w:t>
            </w:r>
            <w:r>
              <w:t>t</w:t>
            </w:r>
            <w:r w:rsidRPr="00DB5740">
              <w:t>ration statements, which could result in disclosure issues for registered offerings.</w:t>
            </w:r>
          </w:p>
          <w:p w14:paraId="097E1854" w14:textId="77777777" w:rsidR="00771086" w:rsidRPr="00215BB8" w:rsidRDefault="005B5528" w:rsidP="00771086">
            <w:pPr>
              <w:pStyle w:val="BodyText"/>
              <w:spacing w:after="120"/>
              <w:rPr>
                <w:i/>
                <w:iCs/>
              </w:rPr>
            </w:pPr>
            <w:r w:rsidRPr="00215BB8">
              <w:rPr>
                <w:i/>
                <w:iCs/>
              </w:rPr>
              <w:t>If the company has adopted or is considering adopting the updating appr</w:t>
            </w:r>
            <w:r w:rsidRPr="00215BB8">
              <w:rPr>
                <w:i/>
                <w:iCs/>
              </w:rPr>
              <w:t>oach, confirm that these potential issues have been discussed.</w:t>
            </w:r>
          </w:p>
        </w:tc>
        <w:tc>
          <w:tcPr>
            <w:tcW w:w="925" w:type="pct"/>
            <w:tcBorders>
              <w:bottom w:val="single" w:sz="4" w:space="0" w:color="auto"/>
            </w:tcBorders>
          </w:tcPr>
          <w:p w14:paraId="4577FC4C" w14:textId="77777777" w:rsidR="00771086" w:rsidRPr="00DB5740" w:rsidRDefault="00771086" w:rsidP="00771086">
            <w:pPr>
              <w:pStyle w:val="BodyText"/>
              <w:spacing w:after="120"/>
            </w:pPr>
          </w:p>
        </w:tc>
        <w:tc>
          <w:tcPr>
            <w:tcW w:w="585" w:type="pct"/>
            <w:tcBorders>
              <w:bottom w:val="single" w:sz="4" w:space="0" w:color="auto"/>
            </w:tcBorders>
          </w:tcPr>
          <w:p w14:paraId="2716C8C7" w14:textId="77777777" w:rsidR="00771086" w:rsidRPr="00DB5740" w:rsidRDefault="00771086" w:rsidP="00771086">
            <w:pPr>
              <w:autoSpaceDE w:val="0"/>
              <w:autoSpaceDN w:val="0"/>
              <w:adjustRightInd w:val="0"/>
            </w:pPr>
          </w:p>
        </w:tc>
        <w:tc>
          <w:tcPr>
            <w:tcW w:w="314" w:type="pct"/>
            <w:gridSpan w:val="2"/>
            <w:tcBorders>
              <w:bottom w:val="single" w:sz="4" w:space="0" w:color="auto"/>
            </w:tcBorders>
            <w:vAlign w:val="center"/>
          </w:tcPr>
          <w:p w14:paraId="3021339D"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04C5E628"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6C0B2B55" w14:textId="77777777" w:rsidTr="00BF4090">
        <w:trPr>
          <w:cantSplit/>
          <w:jc w:val="center"/>
        </w:trPr>
        <w:tc>
          <w:tcPr>
            <w:tcW w:w="685" w:type="pct"/>
            <w:tcBorders>
              <w:bottom w:val="single" w:sz="4" w:space="0" w:color="auto"/>
            </w:tcBorders>
          </w:tcPr>
          <w:p w14:paraId="29347844" w14:textId="77777777" w:rsidR="00771086" w:rsidRPr="00DB5740" w:rsidRDefault="00771086" w:rsidP="00771086">
            <w:pPr>
              <w:autoSpaceDE w:val="0"/>
              <w:autoSpaceDN w:val="0"/>
              <w:adjustRightInd w:val="0"/>
            </w:pPr>
          </w:p>
        </w:tc>
        <w:tc>
          <w:tcPr>
            <w:tcW w:w="584" w:type="pct"/>
            <w:tcBorders>
              <w:bottom w:val="single" w:sz="4" w:space="0" w:color="auto"/>
            </w:tcBorders>
          </w:tcPr>
          <w:p w14:paraId="5CF68E4F" w14:textId="77777777" w:rsidR="00771086" w:rsidRPr="00DB5740" w:rsidRDefault="005B5528" w:rsidP="00771086">
            <w:pPr>
              <w:pStyle w:val="BodyText"/>
              <w:spacing w:after="120"/>
              <w:jc w:val="center"/>
            </w:pPr>
            <w:r w:rsidRPr="00DB5740">
              <w:t>Former 101(b)</w:t>
            </w:r>
          </w:p>
        </w:tc>
        <w:tc>
          <w:tcPr>
            <w:tcW w:w="1907" w:type="pct"/>
            <w:tcBorders>
              <w:bottom w:val="single" w:sz="4" w:space="0" w:color="auto"/>
            </w:tcBorders>
          </w:tcPr>
          <w:p w14:paraId="79BE6315" w14:textId="77777777" w:rsidR="00771086" w:rsidRPr="00DB5740" w:rsidRDefault="005B5528" w:rsidP="00771086">
            <w:pPr>
              <w:pStyle w:val="BodyText"/>
              <w:spacing w:after="120"/>
              <w:rPr>
                <w:b/>
                <w:bCs/>
              </w:rPr>
            </w:pPr>
            <w:r w:rsidRPr="00DB5740">
              <w:rPr>
                <w:b/>
                <w:bCs/>
              </w:rPr>
              <w:t>Segme</w:t>
            </w:r>
            <w:r>
              <w:rPr>
                <w:b/>
                <w:bCs/>
              </w:rPr>
              <w:t>n</w:t>
            </w:r>
            <w:r w:rsidRPr="00DB5740">
              <w:rPr>
                <w:b/>
                <w:bCs/>
              </w:rPr>
              <w:t>ts</w:t>
            </w:r>
          </w:p>
          <w:p w14:paraId="17EC1C89" w14:textId="77777777" w:rsidR="00771086" w:rsidRPr="00DB5740" w:rsidRDefault="005B5528" w:rsidP="00771086">
            <w:pPr>
              <w:pStyle w:val="BodyText"/>
              <w:spacing w:after="120"/>
            </w:pPr>
            <w:r w:rsidRPr="00DB5740">
              <w:t>Item</w:t>
            </w:r>
            <w:r>
              <w:t xml:space="preserve"> </w:t>
            </w:r>
            <w:r w:rsidRPr="00DB5740">
              <w:t>101(b), which required financial information about the company</w:t>
            </w:r>
            <w:r>
              <w:t>’</w:t>
            </w:r>
            <w:r w:rsidRPr="00DB5740">
              <w:t xml:space="preserve">s business segments, was eliminated in 2018.  Many companies complied with the former </w:t>
            </w:r>
            <w:r w:rsidRPr="00DB5740">
              <w:t>requirement by cross-referencing disclosure in the footnotes to the financial statements.</w:t>
            </w:r>
          </w:p>
          <w:p w14:paraId="580F69A4" w14:textId="77777777" w:rsidR="00771086" w:rsidRPr="00215BB8" w:rsidRDefault="005B5528" w:rsidP="00771086">
            <w:pPr>
              <w:pStyle w:val="BodyText"/>
              <w:spacing w:after="120"/>
              <w:rPr>
                <w:i/>
                <w:iCs/>
              </w:rPr>
            </w:pPr>
            <w:r w:rsidRPr="00215BB8">
              <w:rPr>
                <w:i/>
                <w:iCs/>
              </w:rPr>
              <w:t>If the Form 10</w:t>
            </w:r>
            <w:r w:rsidRPr="00215BB8">
              <w:rPr>
                <w:i/>
                <w:iCs/>
              </w:rPr>
              <w:noBreakHyphen/>
              <w:t>K includes segment disclosure, confirm that the discussion is intended to comply with applicable parts of Item 101(a) (development of the company</w:t>
            </w:r>
            <w:r>
              <w:rPr>
                <w:i/>
                <w:iCs/>
              </w:rPr>
              <w:t>’</w:t>
            </w:r>
            <w:r w:rsidRPr="00215BB8">
              <w:rPr>
                <w:i/>
                <w:iCs/>
              </w:rPr>
              <w:t>s bus</w:t>
            </w:r>
            <w:r w:rsidRPr="00215BB8">
              <w:rPr>
                <w:i/>
                <w:iCs/>
              </w:rPr>
              <w:t>iness) or Item 101(c) (description of the company</w:t>
            </w:r>
            <w:r>
              <w:rPr>
                <w:i/>
                <w:iCs/>
              </w:rPr>
              <w:t>’</w:t>
            </w:r>
            <w:r w:rsidRPr="00215BB8">
              <w:rPr>
                <w:i/>
                <w:iCs/>
              </w:rPr>
              <w:t>s business) rather than obsolete disclosure no longer required by former Item 101(b).</w:t>
            </w:r>
          </w:p>
        </w:tc>
        <w:tc>
          <w:tcPr>
            <w:tcW w:w="925" w:type="pct"/>
            <w:tcBorders>
              <w:bottom w:val="single" w:sz="4" w:space="0" w:color="auto"/>
            </w:tcBorders>
          </w:tcPr>
          <w:p w14:paraId="6254A96B" w14:textId="77777777" w:rsidR="00771086" w:rsidRPr="00DB5740" w:rsidRDefault="00771086" w:rsidP="00771086">
            <w:pPr>
              <w:pStyle w:val="BodyText"/>
              <w:spacing w:after="120"/>
            </w:pPr>
          </w:p>
        </w:tc>
        <w:tc>
          <w:tcPr>
            <w:tcW w:w="585" w:type="pct"/>
            <w:tcBorders>
              <w:bottom w:val="single" w:sz="4" w:space="0" w:color="auto"/>
            </w:tcBorders>
          </w:tcPr>
          <w:p w14:paraId="64F45CD7" w14:textId="77777777" w:rsidR="00771086" w:rsidRPr="00DB5740" w:rsidRDefault="00771086" w:rsidP="00771086">
            <w:pPr>
              <w:autoSpaceDE w:val="0"/>
              <w:autoSpaceDN w:val="0"/>
              <w:adjustRightInd w:val="0"/>
            </w:pPr>
          </w:p>
        </w:tc>
        <w:tc>
          <w:tcPr>
            <w:tcW w:w="314" w:type="pct"/>
            <w:gridSpan w:val="2"/>
            <w:tcBorders>
              <w:bottom w:val="single" w:sz="4" w:space="0" w:color="auto"/>
            </w:tcBorders>
            <w:vAlign w:val="center"/>
          </w:tcPr>
          <w:p w14:paraId="0D9A7E53"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7AECDDF0" w14:textId="77777777" w:rsidR="00771086" w:rsidRPr="00DB5740" w:rsidRDefault="005B5528" w:rsidP="00771086">
            <w:pPr>
              <w:autoSpaceDE w:val="0"/>
              <w:autoSpaceDN w:val="0"/>
              <w:adjustRightInd w:val="0"/>
              <w:jc w:val="center"/>
              <w:rPr>
                <w:i/>
              </w:rPr>
            </w:pPr>
            <w:r w:rsidRPr="00DB5740">
              <w:t xml:space="preserve">No  </w:t>
            </w:r>
            <w:r w:rsidRPr="00DB5740">
              <w:rPr>
                <w:rFonts w:ascii="Segoe UI Symbol" w:eastAsia="MS Gothic" w:hAnsi="Segoe UI Symbol" w:cs="Segoe UI Symbol"/>
              </w:rPr>
              <w:t>☐</w:t>
            </w:r>
          </w:p>
        </w:tc>
      </w:tr>
      <w:tr w:rsidR="00000000" w14:paraId="61A0EC2F" w14:textId="77777777" w:rsidTr="00BF4090">
        <w:trPr>
          <w:cantSplit/>
          <w:jc w:val="center"/>
        </w:trPr>
        <w:tc>
          <w:tcPr>
            <w:tcW w:w="685" w:type="pct"/>
            <w:tcBorders>
              <w:bottom w:val="single" w:sz="4" w:space="0" w:color="auto"/>
            </w:tcBorders>
          </w:tcPr>
          <w:p w14:paraId="038A527F" w14:textId="77777777" w:rsidR="00771086" w:rsidRPr="00DB5740" w:rsidRDefault="00771086" w:rsidP="00771086">
            <w:pPr>
              <w:autoSpaceDE w:val="0"/>
              <w:autoSpaceDN w:val="0"/>
              <w:adjustRightInd w:val="0"/>
            </w:pPr>
          </w:p>
        </w:tc>
        <w:tc>
          <w:tcPr>
            <w:tcW w:w="584" w:type="pct"/>
            <w:tcBorders>
              <w:bottom w:val="single" w:sz="4" w:space="0" w:color="auto"/>
            </w:tcBorders>
          </w:tcPr>
          <w:p w14:paraId="6C8B73ED" w14:textId="77777777" w:rsidR="00771086" w:rsidRPr="00DB5740" w:rsidRDefault="005B5528" w:rsidP="00771086">
            <w:pPr>
              <w:pStyle w:val="BodyText"/>
              <w:spacing w:after="120"/>
              <w:jc w:val="center"/>
            </w:pPr>
            <w:hyperlink r:id="rId68" w:anchor="229.101" w:history="1">
              <w:r w:rsidRPr="00DB5740">
                <w:rPr>
                  <w:rStyle w:val="Hyperlink"/>
                </w:rPr>
                <w:t>101(c)</w:t>
              </w:r>
            </w:hyperlink>
          </w:p>
        </w:tc>
        <w:tc>
          <w:tcPr>
            <w:tcW w:w="1907" w:type="pct"/>
            <w:tcBorders>
              <w:bottom w:val="single" w:sz="4" w:space="0" w:color="auto"/>
            </w:tcBorders>
          </w:tcPr>
          <w:p w14:paraId="3CEB483A" w14:textId="77777777" w:rsidR="00771086" w:rsidRPr="00DB5740" w:rsidRDefault="005B5528" w:rsidP="00771086">
            <w:pPr>
              <w:pStyle w:val="BodyText"/>
              <w:spacing w:after="120"/>
              <w:rPr>
                <w:b/>
                <w:bCs/>
              </w:rPr>
            </w:pPr>
            <w:r w:rsidRPr="00DB5740">
              <w:rPr>
                <w:b/>
                <w:bCs/>
              </w:rPr>
              <w:t>Descripti</w:t>
            </w:r>
            <w:r w:rsidRPr="00DB5740">
              <w:rPr>
                <w:b/>
                <w:bCs/>
              </w:rPr>
              <w:t>on of Business</w:t>
            </w:r>
          </w:p>
          <w:p w14:paraId="293EC019" w14:textId="77777777" w:rsidR="00771086" w:rsidRPr="00DB5740" w:rsidRDefault="005B5528" w:rsidP="00771086">
            <w:pPr>
              <w:pStyle w:val="BodyText"/>
              <w:spacing w:after="120"/>
            </w:pPr>
            <w:r w:rsidRPr="00DB5740">
              <w:t xml:space="preserve">Describe the business done and intended to be done by the company.  Item 101(c) includes a non-exclusive list of potential disclosure topics that should be considered when drafting or reviewing this disclosure.  Use the hyperlink at left to </w:t>
            </w:r>
            <w:r w:rsidRPr="00DB5740">
              <w:t>review these topics.</w:t>
            </w:r>
          </w:p>
          <w:p w14:paraId="675C4F8E" w14:textId="77777777" w:rsidR="00771086" w:rsidRPr="00DB5740" w:rsidRDefault="005B5528" w:rsidP="00771086">
            <w:pPr>
              <w:pStyle w:val="BodyText"/>
              <w:spacing w:after="120"/>
              <w:rPr>
                <w:b/>
                <w:bCs/>
              </w:rPr>
            </w:pPr>
            <w:r w:rsidRPr="00DB5740">
              <w:rPr>
                <w:b/>
                <w:bCs/>
              </w:rPr>
              <w:t xml:space="preserve">2022 note: </w:t>
            </w:r>
            <w:r w:rsidRPr="00DB5740">
              <w:t xml:space="preserve">Item 101(c) includes discussion of </w:t>
            </w:r>
            <w:r>
              <w:t>“</w:t>
            </w:r>
            <w:r w:rsidRPr="00DB5740">
              <w:t>resources material to a [company</w:t>
            </w:r>
            <w:r>
              <w:t>’</w:t>
            </w:r>
            <w:r w:rsidRPr="00DB5740">
              <w:t>s] business, such as…sources and availability of raw materials.</w:t>
            </w:r>
            <w:r>
              <w:t>”</w:t>
            </w:r>
            <w:r w:rsidRPr="00DB5740">
              <w:t xml:space="preserve">  </w:t>
            </w:r>
            <w:r w:rsidRPr="0053437A">
              <w:rPr>
                <w:i/>
                <w:iCs/>
              </w:rPr>
              <w:t>Confirm that this section includes disclosure of any material impacts on the company</w:t>
            </w:r>
            <w:r>
              <w:rPr>
                <w:i/>
                <w:iCs/>
              </w:rPr>
              <w:t>’</w:t>
            </w:r>
            <w:r w:rsidRPr="0053437A">
              <w:rPr>
                <w:i/>
                <w:iCs/>
              </w:rPr>
              <w:t>s su</w:t>
            </w:r>
            <w:r w:rsidRPr="0053437A">
              <w:rPr>
                <w:i/>
                <w:iCs/>
              </w:rPr>
              <w:t>pply chain or distribution network that are related to the pandemic.  This should be cur</w:t>
            </w:r>
            <w:r>
              <w:rPr>
                <w:i/>
                <w:iCs/>
              </w:rPr>
              <w:t>r</w:t>
            </w:r>
            <w:r w:rsidRPr="0053437A">
              <w:rPr>
                <w:i/>
                <w:iCs/>
              </w:rPr>
              <w:t>ent through the filing date of the report, not the end of the fiscal year covered by the Form 10</w:t>
            </w:r>
            <w:r>
              <w:rPr>
                <w:i/>
                <w:iCs/>
              </w:rPr>
              <w:t>-</w:t>
            </w:r>
            <w:r w:rsidRPr="0053437A">
              <w:rPr>
                <w:i/>
                <w:iCs/>
              </w:rPr>
              <w:t>K.</w:t>
            </w:r>
          </w:p>
        </w:tc>
        <w:tc>
          <w:tcPr>
            <w:tcW w:w="925" w:type="pct"/>
            <w:tcBorders>
              <w:bottom w:val="single" w:sz="4" w:space="0" w:color="auto"/>
            </w:tcBorders>
          </w:tcPr>
          <w:p w14:paraId="5B64D792" w14:textId="77777777" w:rsidR="00771086" w:rsidRPr="00DB5740" w:rsidRDefault="00771086" w:rsidP="00771086">
            <w:pPr>
              <w:pStyle w:val="BodyText"/>
              <w:spacing w:after="120"/>
            </w:pPr>
          </w:p>
        </w:tc>
        <w:tc>
          <w:tcPr>
            <w:tcW w:w="585" w:type="pct"/>
            <w:tcBorders>
              <w:bottom w:val="single" w:sz="4" w:space="0" w:color="auto"/>
            </w:tcBorders>
          </w:tcPr>
          <w:p w14:paraId="46AEE5D6" w14:textId="77777777" w:rsidR="00771086" w:rsidRPr="00DB5740" w:rsidRDefault="00771086" w:rsidP="00771086">
            <w:pPr>
              <w:autoSpaceDE w:val="0"/>
              <w:autoSpaceDN w:val="0"/>
              <w:adjustRightInd w:val="0"/>
            </w:pPr>
          </w:p>
        </w:tc>
        <w:tc>
          <w:tcPr>
            <w:tcW w:w="314" w:type="pct"/>
            <w:gridSpan w:val="2"/>
            <w:tcBorders>
              <w:bottom w:val="single" w:sz="4" w:space="0" w:color="auto"/>
            </w:tcBorders>
            <w:vAlign w:val="center"/>
          </w:tcPr>
          <w:p w14:paraId="3EB42EDD"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2176B23F" w14:textId="77777777" w:rsidR="00771086" w:rsidRPr="00DB5740" w:rsidRDefault="005B5528" w:rsidP="00771086">
            <w:pPr>
              <w:autoSpaceDE w:val="0"/>
              <w:autoSpaceDN w:val="0"/>
              <w:adjustRightInd w:val="0"/>
              <w:jc w:val="center"/>
              <w:rPr>
                <w:i/>
              </w:rPr>
            </w:pPr>
            <w:r w:rsidRPr="00DB5740">
              <w:t xml:space="preserve">No  </w:t>
            </w:r>
            <w:r w:rsidRPr="00DB5740">
              <w:rPr>
                <w:rFonts w:ascii="Segoe UI Symbol" w:eastAsia="MS Gothic" w:hAnsi="Segoe UI Symbol" w:cs="Segoe UI Symbol"/>
              </w:rPr>
              <w:t>☐</w:t>
            </w:r>
          </w:p>
        </w:tc>
      </w:tr>
      <w:tr w:rsidR="00000000" w14:paraId="36BFEF9A" w14:textId="77777777" w:rsidTr="00BF4090">
        <w:trPr>
          <w:cantSplit/>
          <w:jc w:val="center"/>
        </w:trPr>
        <w:tc>
          <w:tcPr>
            <w:tcW w:w="685" w:type="pct"/>
            <w:tcBorders>
              <w:bottom w:val="single" w:sz="4" w:space="0" w:color="auto"/>
            </w:tcBorders>
          </w:tcPr>
          <w:p w14:paraId="7591A3FB" w14:textId="77777777" w:rsidR="00771086" w:rsidRPr="00DB5740" w:rsidRDefault="00771086" w:rsidP="00771086">
            <w:pPr>
              <w:autoSpaceDE w:val="0"/>
              <w:autoSpaceDN w:val="0"/>
              <w:adjustRightInd w:val="0"/>
            </w:pPr>
          </w:p>
        </w:tc>
        <w:tc>
          <w:tcPr>
            <w:tcW w:w="584" w:type="pct"/>
            <w:tcBorders>
              <w:bottom w:val="single" w:sz="4" w:space="0" w:color="auto"/>
            </w:tcBorders>
          </w:tcPr>
          <w:p w14:paraId="6F4CDD60" w14:textId="77777777" w:rsidR="00771086" w:rsidRPr="00DB5740" w:rsidRDefault="00771086" w:rsidP="00771086">
            <w:pPr>
              <w:pStyle w:val="BodyText"/>
              <w:spacing w:after="120"/>
              <w:jc w:val="center"/>
            </w:pPr>
          </w:p>
        </w:tc>
        <w:tc>
          <w:tcPr>
            <w:tcW w:w="1907" w:type="pct"/>
            <w:tcBorders>
              <w:bottom w:val="single" w:sz="4" w:space="0" w:color="auto"/>
            </w:tcBorders>
          </w:tcPr>
          <w:p w14:paraId="72D59C31" w14:textId="77777777" w:rsidR="00771086" w:rsidRPr="00CE3715" w:rsidRDefault="005B5528" w:rsidP="00771086">
            <w:pPr>
              <w:pStyle w:val="BodyText"/>
              <w:spacing w:after="120"/>
              <w:rPr>
                <w:b/>
                <w:bCs/>
              </w:rPr>
            </w:pPr>
            <w:r w:rsidRPr="00CE3715">
              <w:rPr>
                <w:b/>
                <w:bCs/>
              </w:rPr>
              <w:t>Human Capital Resources</w:t>
            </w:r>
          </w:p>
          <w:p w14:paraId="07D5E86F" w14:textId="77777777" w:rsidR="00771086" w:rsidRPr="00CE3715" w:rsidRDefault="005B5528" w:rsidP="00771086">
            <w:pPr>
              <w:pStyle w:val="BodyText"/>
              <w:spacing w:after="120"/>
            </w:pPr>
            <w:r w:rsidRPr="00CE3715">
              <w:t xml:space="preserve">Provide a description of </w:t>
            </w:r>
            <w:r>
              <w:t>t</w:t>
            </w:r>
            <w:r>
              <w:t>he company’s</w:t>
            </w:r>
            <w:r w:rsidRPr="00CE3715">
              <w:t xml:space="preserve"> human capital resources, including the number of persons employed by the </w:t>
            </w:r>
            <w:r>
              <w:t>company</w:t>
            </w:r>
            <w:r w:rsidRPr="00CE3715">
              <w:t xml:space="preserve">, and any human </w:t>
            </w:r>
            <w:r>
              <w:t>c</w:t>
            </w:r>
            <w:r w:rsidRPr="00CE3715">
              <w:t xml:space="preserve">apital measures or objectives that the </w:t>
            </w:r>
            <w:r>
              <w:t>company</w:t>
            </w:r>
            <w:r w:rsidRPr="00CE3715">
              <w:t xml:space="preserve"> focuses on in managing the business (such as, dep</w:t>
            </w:r>
            <w:r>
              <w:t>e</w:t>
            </w:r>
            <w:r w:rsidRPr="00CE3715">
              <w:t xml:space="preserve">nding on the nature of the </w:t>
            </w:r>
            <w:r>
              <w:t>company’</w:t>
            </w:r>
            <w:r w:rsidRPr="00CE3715">
              <w:t>s business and</w:t>
            </w:r>
            <w:r w:rsidRPr="00CE3715">
              <w:t xml:space="preserve"> workforce, measures or objectives that address the development, attraction and retention of personnel).</w:t>
            </w:r>
          </w:p>
        </w:tc>
        <w:tc>
          <w:tcPr>
            <w:tcW w:w="925" w:type="pct"/>
            <w:tcBorders>
              <w:bottom w:val="single" w:sz="4" w:space="0" w:color="auto"/>
            </w:tcBorders>
          </w:tcPr>
          <w:p w14:paraId="34429BB4" w14:textId="77777777" w:rsidR="00771086" w:rsidRPr="00DB5740" w:rsidRDefault="00771086" w:rsidP="00771086">
            <w:pPr>
              <w:pStyle w:val="BodyText"/>
              <w:spacing w:after="120"/>
            </w:pPr>
          </w:p>
        </w:tc>
        <w:tc>
          <w:tcPr>
            <w:tcW w:w="585" w:type="pct"/>
            <w:tcBorders>
              <w:bottom w:val="single" w:sz="4" w:space="0" w:color="auto"/>
            </w:tcBorders>
          </w:tcPr>
          <w:p w14:paraId="7A5C16C3" w14:textId="77777777" w:rsidR="00771086" w:rsidRPr="00DB5740" w:rsidRDefault="00771086" w:rsidP="00771086">
            <w:pPr>
              <w:autoSpaceDE w:val="0"/>
              <w:autoSpaceDN w:val="0"/>
              <w:adjustRightInd w:val="0"/>
            </w:pPr>
          </w:p>
        </w:tc>
        <w:tc>
          <w:tcPr>
            <w:tcW w:w="314" w:type="pct"/>
            <w:gridSpan w:val="2"/>
            <w:tcBorders>
              <w:bottom w:val="single" w:sz="4" w:space="0" w:color="auto"/>
            </w:tcBorders>
            <w:vAlign w:val="center"/>
          </w:tcPr>
          <w:p w14:paraId="39E236E5"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3660B301"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4F917686" w14:textId="77777777" w:rsidTr="00BF4090">
        <w:trPr>
          <w:cantSplit/>
          <w:jc w:val="center"/>
        </w:trPr>
        <w:tc>
          <w:tcPr>
            <w:tcW w:w="685" w:type="pct"/>
            <w:tcBorders>
              <w:bottom w:val="single" w:sz="4" w:space="0" w:color="auto"/>
            </w:tcBorders>
            <w:shd w:val="clear" w:color="auto" w:fill="FFFFFF"/>
          </w:tcPr>
          <w:p w14:paraId="7C57B04C" w14:textId="77777777" w:rsidR="00771086" w:rsidRPr="00DB5740" w:rsidRDefault="00771086" w:rsidP="00771086">
            <w:pPr>
              <w:autoSpaceDE w:val="0"/>
              <w:autoSpaceDN w:val="0"/>
              <w:adjustRightInd w:val="0"/>
              <w:rPr>
                <w:b/>
                <w:iCs/>
                <w:color w:val="FF0000"/>
              </w:rPr>
            </w:pPr>
            <w:bookmarkStart w:id="41" w:name="_Hlk93583458"/>
          </w:p>
        </w:tc>
        <w:tc>
          <w:tcPr>
            <w:tcW w:w="584" w:type="pct"/>
            <w:shd w:val="clear" w:color="auto" w:fill="FFFFFF"/>
          </w:tcPr>
          <w:p w14:paraId="4B134D25" w14:textId="77777777" w:rsidR="00771086" w:rsidRPr="00DB5740" w:rsidRDefault="00771086" w:rsidP="00771086">
            <w:pPr>
              <w:pStyle w:val="BodyText"/>
              <w:spacing w:after="120"/>
              <w:jc w:val="center"/>
            </w:pPr>
          </w:p>
        </w:tc>
        <w:tc>
          <w:tcPr>
            <w:tcW w:w="1907" w:type="pct"/>
            <w:shd w:val="clear" w:color="auto" w:fill="FFFFFF"/>
          </w:tcPr>
          <w:p w14:paraId="3E834FE5" w14:textId="77777777" w:rsidR="00771086" w:rsidRDefault="005B5528" w:rsidP="00771086">
            <w:pPr>
              <w:autoSpaceDE w:val="0"/>
              <w:autoSpaceDN w:val="0"/>
              <w:adjustRightInd w:val="0"/>
              <w:spacing w:after="120"/>
              <w:rPr>
                <w:b/>
                <w:bCs/>
              </w:rPr>
            </w:pPr>
            <w:r>
              <w:rPr>
                <w:b/>
                <w:bCs/>
              </w:rPr>
              <w:t>Research and Development Expenses</w:t>
            </w:r>
          </w:p>
          <w:p w14:paraId="4E9CDAA8" w14:textId="77777777" w:rsidR="00771086" w:rsidRPr="00DB5740" w:rsidRDefault="005B5528" w:rsidP="00771086">
            <w:pPr>
              <w:autoSpaceDE w:val="0"/>
              <w:autoSpaceDN w:val="0"/>
              <w:adjustRightInd w:val="0"/>
              <w:spacing w:after="120"/>
            </w:pPr>
            <w:r w:rsidRPr="00DB5740">
              <w:t>The 2018 disclosure simplification amendments eliminated the requirement to disclose estimated mater</w:t>
            </w:r>
            <w:r w:rsidRPr="00DB5740">
              <w:t xml:space="preserve">ial amounts spent on research and development activities in Items 101(c) and 101(h). </w:t>
            </w:r>
          </w:p>
          <w:p w14:paraId="727D5065" w14:textId="77777777" w:rsidR="00771086" w:rsidRPr="00DB5740" w:rsidRDefault="005B5528" w:rsidP="00771086">
            <w:pPr>
              <w:pStyle w:val="BodyText"/>
              <w:spacing w:after="120"/>
            </w:pPr>
            <w:r w:rsidRPr="00DB5740">
              <w:rPr>
                <w:b/>
                <w:bCs/>
              </w:rPr>
              <w:t xml:space="preserve">Disclosure of trends related to material research and development activities and expenses continues to be required by Item 303 (MD&amp;A). </w:t>
            </w:r>
            <w:r w:rsidRPr="00DB5740">
              <w:t xml:space="preserve"> Companies may also disclose this i</w:t>
            </w:r>
            <w:r w:rsidRPr="00DB5740">
              <w:t>nformation voluntarily as part of the business discussion.</w:t>
            </w:r>
          </w:p>
          <w:p w14:paraId="4C822C13" w14:textId="77777777" w:rsidR="00771086" w:rsidRPr="00215BB8" w:rsidRDefault="005B5528" w:rsidP="00771086">
            <w:pPr>
              <w:pStyle w:val="BodyText"/>
              <w:spacing w:after="120"/>
              <w:rPr>
                <w:i/>
                <w:iCs/>
              </w:rPr>
            </w:pPr>
            <w:r w:rsidRPr="00215BB8">
              <w:rPr>
                <w:i/>
                <w:iCs/>
              </w:rPr>
              <w:t>Confirm that this disclosure is included In MD&amp;A and/or Business, to the extent material.</w:t>
            </w:r>
          </w:p>
        </w:tc>
        <w:tc>
          <w:tcPr>
            <w:tcW w:w="925" w:type="pct"/>
            <w:shd w:val="clear" w:color="auto" w:fill="FFFFFF"/>
          </w:tcPr>
          <w:p w14:paraId="38E1B8A2" w14:textId="77777777" w:rsidR="00771086" w:rsidRPr="00DB5740" w:rsidRDefault="00771086" w:rsidP="00771086">
            <w:pPr>
              <w:pStyle w:val="BodyText"/>
              <w:spacing w:after="120"/>
            </w:pPr>
          </w:p>
        </w:tc>
        <w:tc>
          <w:tcPr>
            <w:tcW w:w="585" w:type="pct"/>
            <w:shd w:val="clear" w:color="auto" w:fill="FFFFFF"/>
          </w:tcPr>
          <w:p w14:paraId="4674EFA0" w14:textId="77777777" w:rsidR="00771086" w:rsidRPr="00DB5740" w:rsidRDefault="00771086" w:rsidP="00771086">
            <w:pPr>
              <w:autoSpaceDE w:val="0"/>
              <w:autoSpaceDN w:val="0"/>
              <w:adjustRightInd w:val="0"/>
            </w:pPr>
          </w:p>
        </w:tc>
        <w:tc>
          <w:tcPr>
            <w:tcW w:w="314" w:type="pct"/>
            <w:gridSpan w:val="2"/>
            <w:shd w:val="clear" w:color="auto" w:fill="FFFFFF"/>
            <w:vAlign w:val="center"/>
          </w:tcPr>
          <w:p w14:paraId="0F199FA0"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650D7013"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bookmarkEnd w:id="41"/>
      <w:tr w:rsidR="00000000" w14:paraId="5355FE38" w14:textId="77777777" w:rsidTr="00BF4090">
        <w:trPr>
          <w:cantSplit/>
          <w:jc w:val="center"/>
        </w:trPr>
        <w:tc>
          <w:tcPr>
            <w:tcW w:w="685" w:type="pct"/>
            <w:tcBorders>
              <w:bottom w:val="single" w:sz="4" w:space="0" w:color="auto"/>
            </w:tcBorders>
            <w:shd w:val="clear" w:color="auto" w:fill="auto"/>
          </w:tcPr>
          <w:p w14:paraId="1A7CC28E" w14:textId="77777777" w:rsidR="00771086" w:rsidRPr="00DB5740" w:rsidRDefault="00771086" w:rsidP="00771086">
            <w:pPr>
              <w:autoSpaceDE w:val="0"/>
              <w:autoSpaceDN w:val="0"/>
              <w:adjustRightInd w:val="0"/>
              <w:rPr>
                <w:b/>
                <w:i/>
                <w:color w:val="FF0000"/>
              </w:rPr>
            </w:pPr>
          </w:p>
        </w:tc>
        <w:tc>
          <w:tcPr>
            <w:tcW w:w="584" w:type="pct"/>
            <w:shd w:val="clear" w:color="auto" w:fill="auto"/>
          </w:tcPr>
          <w:p w14:paraId="3F408D30" w14:textId="77777777" w:rsidR="00771086" w:rsidRPr="00DB5740" w:rsidRDefault="005B5528" w:rsidP="00771086">
            <w:pPr>
              <w:pStyle w:val="BodyText"/>
              <w:spacing w:after="120"/>
              <w:jc w:val="center"/>
            </w:pPr>
            <w:r w:rsidRPr="00DB5740">
              <w:t>Former Item 101(d)</w:t>
            </w:r>
          </w:p>
        </w:tc>
        <w:tc>
          <w:tcPr>
            <w:tcW w:w="1907" w:type="pct"/>
            <w:shd w:val="clear" w:color="auto" w:fill="auto"/>
          </w:tcPr>
          <w:p w14:paraId="2A754ED8" w14:textId="77777777" w:rsidR="00771086" w:rsidRDefault="005B5528" w:rsidP="00771086">
            <w:pPr>
              <w:autoSpaceDE w:val="0"/>
              <w:autoSpaceDN w:val="0"/>
              <w:adjustRightInd w:val="0"/>
              <w:spacing w:after="120"/>
              <w:rPr>
                <w:b/>
                <w:bCs/>
              </w:rPr>
            </w:pPr>
            <w:r>
              <w:rPr>
                <w:b/>
                <w:bCs/>
              </w:rPr>
              <w:t>Geographic Areas</w:t>
            </w:r>
          </w:p>
          <w:p w14:paraId="715E773A" w14:textId="77777777" w:rsidR="00771086" w:rsidRPr="00DB5740" w:rsidRDefault="005B5528" w:rsidP="00771086">
            <w:pPr>
              <w:autoSpaceDE w:val="0"/>
              <w:autoSpaceDN w:val="0"/>
              <w:adjustRightInd w:val="0"/>
              <w:spacing w:after="120"/>
            </w:pPr>
            <w:r w:rsidRPr="00DB5740">
              <w:t xml:space="preserve">The 2018 amendments eliminated the requirement of Item </w:t>
            </w:r>
            <w:r w:rsidRPr="00DB5740">
              <w:t xml:space="preserve">101(d) to disclose financial information by geographic area and related risks in the description of business. </w:t>
            </w:r>
          </w:p>
          <w:p w14:paraId="5010E634" w14:textId="77777777" w:rsidR="00771086" w:rsidRPr="00DB5740" w:rsidRDefault="005B5528" w:rsidP="00771086">
            <w:pPr>
              <w:pStyle w:val="BodyText"/>
              <w:spacing w:after="120"/>
            </w:pPr>
            <w:r w:rsidRPr="00DB5740">
              <w:t xml:space="preserve">Item 303(a) of Regulation S-K was amended at the same time to include an express reference to </w:t>
            </w:r>
            <w:r>
              <w:rPr>
                <w:b/>
                <w:bCs/>
              </w:rPr>
              <w:t>“</w:t>
            </w:r>
            <w:r w:rsidRPr="00DB5740">
              <w:rPr>
                <w:b/>
                <w:bCs/>
              </w:rPr>
              <w:t>geographic areas</w:t>
            </w:r>
            <w:r>
              <w:rPr>
                <w:b/>
                <w:bCs/>
              </w:rPr>
              <w:t>”</w:t>
            </w:r>
            <w:r w:rsidRPr="00DB5740">
              <w:rPr>
                <w:b/>
                <w:bCs/>
              </w:rPr>
              <w:t xml:space="preserve"> to the current requirement to di</w:t>
            </w:r>
            <w:r w:rsidRPr="00DB5740">
              <w:rPr>
                <w:b/>
                <w:bCs/>
              </w:rPr>
              <w:t>scuss elements of the company</w:t>
            </w:r>
            <w:r>
              <w:rPr>
                <w:b/>
                <w:bCs/>
              </w:rPr>
              <w:t>’</w:t>
            </w:r>
            <w:r w:rsidRPr="00DB5740">
              <w:rPr>
                <w:b/>
                <w:bCs/>
              </w:rPr>
              <w:t>s income that are not indicative of its ongoing business.</w:t>
            </w:r>
            <w:r w:rsidRPr="00DB5740">
              <w:t xml:space="preserve"> </w:t>
            </w:r>
          </w:p>
          <w:p w14:paraId="335C35BA" w14:textId="77777777" w:rsidR="00771086" w:rsidRPr="00DB5740" w:rsidRDefault="005B5528" w:rsidP="00771086">
            <w:pPr>
              <w:pStyle w:val="BodyText"/>
              <w:spacing w:after="120"/>
            </w:pPr>
            <w:r w:rsidRPr="00DB5740">
              <w:t>The adopting release clarified that MD&amp;A disclosure about geographic areas is not required unless management believes that discussion of income from geographi</w:t>
            </w:r>
            <w:r>
              <w:t>c</w:t>
            </w:r>
            <w:r w:rsidRPr="00DB5740">
              <w:t>al areas</w:t>
            </w:r>
            <w:r w:rsidRPr="00DB5740">
              <w:t xml:space="preserve"> would b</w:t>
            </w:r>
            <w:r>
              <w:t>e</w:t>
            </w:r>
            <w:r w:rsidRPr="00DB5740">
              <w:t xml:space="preserve"> appropriate for an understanding of a company</w:t>
            </w:r>
            <w:r>
              <w:t>’</w:t>
            </w:r>
            <w:r w:rsidRPr="00DB5740">
              <w:t>s business.</w:t>
            </w:r>
          </w:p>
        </w:tc>
        <w:tc>
          <w:tcPr>
            <w:tcW w:w="925" w:type="pct"/>
            <w:shd w:val="clear" w:color="auto" w:fill="auto"/>
          </w:tcPr>
          <w:p w14:paraId="7385FC6E" w14:textId="77777777" w:rsidR="00771086" w:rsidRPr="00DB5740" w:rsidRDefault="00771086" w:rsidP="00771086">
            <w:pPr>
              <w:pStyle w:val="BodyText"/>
              <w:spacing w:after="120"/>
            </w:pPr>
          </w:p>
        </w:tc>
        <w:tc>
          <w:tcPr>
            <w:tcW w:w="585" w:type="pct"/>
            <w:shd w:val="clear" w:color="auto" w:fill="auto"/>
          </w:tcPr>
          <w:p w14:paraId="7631FC52" w14:textId="77777777" w:rsidR="00771086" w:rsidRPr="00DB5740" w:rsidRDefault="00771086" w:rsidP="00771086">
            <w:pPr>
              <w:autoSpaceDE w:val="0"/>
              <w:autoSpaceDN w:val="0"/>
              <w:adjustRightInd w:val="0"/>
            </w:pPr>
          </w:p>
        </w:tc>
        <w:tc>
          <w:tcPr>
            <w:tcW w:w="314" w:type="pct"/>
            <w:gridSpan w:val="2"/>
            <w:shd w:val="clear" w:color="auto" w:fill="auto"/>
            <w:vAlign w:val="center"/>
          </w:tcPr>
          <w:p w14:paraId="76A9D96F"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6D077D12"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6A379B10" w14:textId="77777777" w:rsidTr="00BF4090">
        <w:trPr>
          <w:cantSplit/>
          <w:jc w:val="center"/>
        </w:trPr>
        <w:tc>
          <w:tcPr>
            <w:tcW w:w="685" w:type="pct"/>
            <w:tcBorders>
              <w:bottom w:val="single" w:sz="4" w:space="0" w:color="auto"/>
            </w:tcBorders>
            <w:shd w:val="clear" w:color="auto" w:fill="auto"/>
          </w:tcPr>
          <w:p w14:paraId="25068CBA" w14:textId="77777777" w:rsidR="00771086" w:rsidRPr="00DB5740" w:rsidRDefault="00771086" w:rsidP="00771086">
            <w:pPr>
              <w:autoSpaceDE w:val="0"/>
              <w:autoSpaceDN w:val="0"/>
              <w:adjustRightInd w:val="0"/>
              <w:rPr>
                <w:color w:val="FF0000"/>
              </w:rPr>
            </w:pPr>
          </w:p>
        </w:tc>
        <w:tc>
          <w:tcPr>
            <w:tcW w:w="584" w:type="pct"/>
            <w:tcBorders>
              <w:bottom w:val="single" w:sz="4" w:space="0" w:color="auto"/>
            </w:tcBorders>
            <w:shd w:val="clear" w:color="auto" w:fill="auto"/>
          </w:tcPr>
          <w:p w14:paraId="07518202" w14:textId="77777777" w:rsidR="00771086" w:rsidRPr="00DB5740" w:rsidRDefault="005B5528" w:rsidP="00771086">
            <w:pPr>
              <w:autoSpaceDE w:val="0"/>
              <w:autoSpaceDN w:val="0"/>
              <w:adjustRightInd w:val="0"/>
              <w:jc w:val="center"/>
            </w:pPr>
            <w:hyperlink r:id="rId69" w:anchor="229.101" w:history="1">
              <w:r w:rsidRPr="00DB5740">
                <w:rPr>
                  <w:rStyle w:val="Hyperlink"/>
                </w:rPr>
                <w:t>101(e)</w:t>
              </w:r>
            </w:hyperlink>
          </w:p>
        </w:tc>
        <w:tc>
          <w:tcPr>
            <w:tcW w:w="1907" w:type="pct"/>
            <w:tcBorders>
              <w:bottom w:val="single" w:sz="4" w:space="0" w:color="auto"/>
            </w:tcBorders>
            <w:shd w:val="clear" w:color="auto" w:fill="auto"/>
          </w:tcPr>
          <w:p w14:paraId="5CF5304F" w14:textId="77777777" w:rsidR="00771086" w:rsidRDefault="005B5528" w:rsidP="00771086">
            <w:pPr>
              <w:autoSpaceDE w:val="0"/>
              <w:autoSpaceDN w:val="0"/>
              <w:adjustRightInd w:val="0"/>
              <w:spacing w:after="120"/>
              <w:rPr>
                <w:b/>
                <w:bCs/>
              </w:rPr>
            </w:pPr>
            <w:r>
              <w:rPr>
                <w:b/>
                <w:bCs/>
              </w:rPr>
              <w:t>Available Information</w:t>
            </w:r>
          </w:p>
          <w:p w14:paraId="454B3FA2" w14:textId="77777777" w:rsidR="00771086" w:rsidRPr="00DB5740" w:rsidRDefault="005B5528" w:rsidP="00771086">
            <w:pPr>
              <w:autoSpaceDE w:val="0"/>
              <w:autoSpaceDN w:val="0"/>
              <w:adjustRightInd w:val="0"/>
              <w:spacing w:after="120"/>
            </w:pPr>
            <w:r w:rsidRPr="00DB5740">
              <w:t>All companies must disclose:</w:t>
            </w:r>
          </w:p>
          <w:p w14:paraId="72D50A22" w14:textId="77777777" w:rsidR="00771086" w:rsidRPr="00DB5740" w:rsidRDefault="005B5528" w:rsidP="00771086">
            <w:pPr>
              <w:numPr>
                <w:ilvl w:val="0"/>
                <w:numId w:val="14"/>
              </w:numPr>
              <w:autoSpaceDE w:val="0"/>
              <w:autoSpaceDN w:val="0"/>
              <w:adjustRightInd w:val="0"/>
              <w:spacing w:after="120"/>
              <w:ind w:left="421"/>
            </w:pPr>
            <w:r w:rsidRPr="00DB5740">
              <w:t>the company</w:t>
            </w:r>
            <w:r>
              <w:t>’</w:t>
            </w:r>
            <w:r w:rsidRPr="00DB5740">
              <w:t>s website addr</w:t>
            </w:r>
            <w:r w:rsidRPr="00DB5740">
              <w:t>ess, if it has one; and</w:t>
            </w:r>
          </w:p>
          <w:p w14:paraId="71F2A3D9" w14:textId="77777777" w:rsidR="00771086" w:rsidRPr="00DB5740" w:rsidRDefault="005B5528" w:rsidP="00771086">
            <w:pPr>
              <w:numPr>
                <w:ilvl w:val="0"/>
                <w:numId w:val="14"/>
              </w:numPr>
              <w:autoSpaceDE w:val="0"/>
              <w:autoSpaceDN w:val="0"/>
              <w:adjustRightInd w:val="0"/>
              <w:spacing w:after="120"/>
              <w:ind w:left="421"/>
            </w:pPr>
            <w:r w:rsidRPr="00DB5740">
              <w:t xml:space="preserve">whether the company makes available free of charge on or through its website its </w:t>
            </w:r>
            <w:r>
              <w:t>Form 10</w:t>
            </w:r>
            <w:r>
              <w:noBreakHyphen/>
              <w:t>K</w:t>
            </w:r>
            <w:r w:rsidRPr="00DB5740">
              <w:t>, 10</w:t>
            </w:r>
            <w:r w:rsidRPr="00DB5740">
              <w:noBreakHyphen/>
              <w:t xml:space="preserve">Q, and </w:t>
            </w:r>
            <w:r>
              <w:t>8</w:t>
            </w:r>
            <w:r w:rsidRPr="00DB5740">
              <w:noBreakHyphen/>
              <w:t xml:space="preserve">K reports, </w:t>
            </w:r>
            <w:r w:rsidRPr="00DB5740">
              <w:rPr>
                <w:b/>
                <w:bCs/>
                <w:i/>
                <w:iCs/>
              </w:rPr>
              <w:t>incl</w:t>
            </w:r>
            <w:r>
              <w:rPr>
                <w:b/>
                <w:bCs/>
                <w:i/>
                <w:iCs/>
              </w:rPr>
              <w:t>u</w:t>
            </w:r>
            <w:r w:rsidRPr="00DB5740">
              <w:rPr>
                <w:b/>
                <w:bCs/>
                <w:i/>
                <w:iCs/>
              </w:rPr>
              <w:t>ding exhibits (per SEC adopting release)</w:t>
            </w:r>
            <w:r w:rsidRPr="00DB5740">
              <w:t>, and amendments to those reports, as soon as reasonably practicable aft</w:t>
            </w:r>
            <w:r w:rsidRPr="00DB5740">
              <w:t xml:space="preserve">er filed with or furnished to the SEC – note that the SEC has stated that this means </w:t>
            </w:r>
            <w:r w:rsidRPr="00DB5740">
              <w:rPr>
                <w:b/>
                <w:bCs/>
                <w:i/>
                <w:iCs/>
              </w:rPr>
              <w:t>on the same day as filed or furnished.</w:t>
            </w:r>
          </w:p>
          <w:p w14:paraId="0484B273" w14:textId="77777777" w:rsidR="00771086" w:rsidRPr="00DB5740" w:rsidRDefault="005B5528" w:rsidP="00771086">
            <w:pPr>
              <w:autoSpaceDE w:val="0"/>
              <w:autoSpaceDN w:val="0"/>
              <w:adjustRightInd w:val="0"/>
              <w:spacing w:after="120"/>
            </w:pPr>
            <w:r w:rsidRPr="00DB5740">
              <w:t>If the company does not make these filings available in this manner, it must disclose:</w:t>
            </w:r>
          </w:p>
          <w:p w14:paraId="71BE8791" w14:textId="77777777" w:rsidR="00771086" w:rsidRPr="00DB5740" w:rsidRDefault="005B5528" w:rsidP="00771086">
            <w:pPr>
              <w:numPr>
                <w:ilvl w:val="0"/>
                <w:numId w:val="14"/>
              </w:numPr>
              <w:autoSpaceDE w:val="0"/>
              <w:autoSpaceDN w:val="0"/>
              <w:adjustRightInd w:val="0"/>
              <w:spacing w:after="120"/>
              <w:ind w:left="421"/>
            </w:pPr>
            <w:r w:rsidRPr="00DB5740">
              <w:t>the reasons for not doing so (including, if a</w:t>
            </w:r>
            <w:r w:rsidRPr="00DB5740">
              <w:t>pplicable, that it does not have a website); and</w:t>
            </w:r>
          </w:p>
          <w:p w14:paraId="3563C2CF" w14:textId="77777777" w:rsidR="00771086" w:rsidRPr="00DB5740" w:rsidRDefault="005B5528" w:rsidP="00771086">
            <w:pPr>
              <w:numPr>
                <w:ilvl w:val="0"/>
                <w:numId w:val="14"/>
              </w:numPr>
              <w:autoSpaceDE w:val="0"/>
              <w:autoSpaceDN w:val="0"/>
              <w:adjustRightInd w:val="0"/>
              <w:spacing w:after="120"/>
              <w:ind w:left="421"/>
            </w:pPr>
            <w:r w:rsidRPr="00DB5740">
              <w:t>whether it will voluntarily provide electronic or paper copies free of charge upon request.</w:t>
            </w:r>
          </w:p>
          <w:p w14:paraId="4F353FDD" w14:textId="77777777" w:rsidR="00771086" w:rsidRPr="00DB5740" w:rsidRDefault="005B5528" w:rsidP="00BF3B62">
            <w:pPr>
              <w:pStyle w:val="ListBullet"/>
              <w:numPr>
                <w:ilvl w:val="0"/>
                <w:numId w:val="0"/>
              </w:numPr>
            </w:pPr>
            <w:r w:rsidRPr="00DB5740">
              <w:t>The SEC disclosure simplification amendments adopted in 2018 also:</w:t>
            </w:r>
          </w:p>
          <w:p w14:paraId="48DFD1C2" w14:textId="77777777" w:rsidR="00771086" w:rsidRPr="00DB5740" w:rsidRDefault="005B5528" w:rsidP="00771086">
            <w:pPr>
              <w:numPr>
                <w:ilvl w:val="0"/>
                <w:numId w:val="14"/>
              </w:numPr>
              <w:autoSpaceDE w:val="0"/>
              <w:autoSpaceDN w:val="0"/>
              <w:adjustRightInd w:val="0"/>
              <w:spacing w:after="120"/>
              <w:ind w:left="421"/>
            </w:pPr>
            <w:r w:rsidRPr="00DB5740">
              <w:t>delete the requirement to identify the SEC Publi</w:t>
            </w:r>
            <w:r w:rsidRPr="00DB5740">
              <w:t>c Reference Room and its physical address and phone number; and</w:t>
            </w:r>
          </w:p>
          <w:p w14:paraId="4D7EDC76" w14:textId="77777777" w:rsidR="00771086" w:rsidRPr="00DB5740" w:rsidRDefault="005B5528" w:rsidP="00771086">
            <w:pPr>
              <w:numPr>
                <w:ilvl w:val="0"/>
                <w:numId w:val="14"/>
              </w:numPr>
              <w:autoSpaceDE w:val="0"/>
              <w:autoSpaceDN w:val="0"/>
              <w:adjustRightInd w:val="0"/>
              <w:spacing w:after="120"/>
              <w:ind w:left="421"/>
            </w:pPr>
            <w:r w:rsidRPr="00DB5740">
              <w:t>continue to require companies to disclose the SEC</w:t>
            </w:r>
            <w:r>
              <w:t>’</w:t>
            </w:r>
            <w:r w:rsidRPr="00DB5740">
              <w:t>s internet address and the availability of the company</w:t>
            </w:r>
            <w:r>
              <w:t>’</w:t>
            </w:r>
            <w:r w:rsidRPr="00DB5740">
              <w:t>s SEC filings.</w:t>
            </w:r>
          </w:p>
        </w:tc>
        <w:tc>
          <w:tcPr>
            <w:tcW w:w="925" w:type="pct"/>
            <w:tcBorders>
              <w:bottom w:val="single" w:sz="4" w:space="0" w:color="auto"/>
            </w:tcBorders>
            <w:shd w:val="clear" w:color="auto" w:fill="auto"/>
          </w:tcPr>
          <w:p w14:paraId="16DC84AB" w14:textId="77777777" w:rsidR="00771086" w:rsidRPr="00DB5740" w:rsidRDefault="00771086" w:rsidP="00771086">
            <w:pPr>
              <w:autoSpaceDE w:val="0"/>
              <w:autoSpaceDN w:val="0"/>
              <w:adjustRightInd w:val="0"/>
              <w:spacing w:after="120"/>
              <w:rPr>
                <w:sz w:val="18"/>
                <w:szCs w:val="18"/>
              </w:rPr>
            </w:pPr>
          </w:p>
        </w:tc>
        <w:tc>
          <w:tcPr>
            <w:tcW w:w="585" w:type="pct"/>
            <w:tcBorders>
              <w:bottom w:val="single" w:sz="4" w:space="0" w:color="auto"/>
            </w:tcBorders>
            <w:shd w:val="clear" w:color="auto" w:fill="auto"/>
          </w:tcPr>
          <w:p w14:paraId="24DA59E2" w14:textId="77777777" w:rsidR="00771086" w:rsidRPr="00DB5740" w:rsidRDefault="00771086" w:rsidP="00BF3B62">
            <w:pPr>
              <w:pStyle w:val="ListBullet"/>
              <w:numPr>
                <w:ilvl w:val="0"/>
                <w:numId w:val="0"/>
              </w:numPr>
              <w:ind w:left="778"/>
            </w:pPr>
          </w:p>
        </w:tc>
        <w:tc>
          <w:tcPr>
            <w:tcW w:w="314" w:type="pct"/>
            <w:gridSpan w:val="2"/>
            <w:tcBorders>
              <w:bottom w:val="single" w:sz="4" w:space="0" w:color="auto"/>
            </w:tcBorders>
            <w:shd w:val="clear" w:color="auto" w:fill="auto"/>
            <w:vAlign w:val="center"/>
          </w:tcPr>
          <w:p w14:paraId="67B6EAB2"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6F56A652"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1ADACE9E" w14:textId="77777777" w:rsidTr="00BF4090">
        <w:trPr>
          <w:cantSplit/>
          <w:jc w:val="center"/>
        </w:trPr>
        <w:tc>
          <w:tcPr>
            <w:tcW w:w="685" w:type="pct"/>
            <w:tcBorders>
              <w:bottom w:val="single" w:sz="4" w:space="0" w:color="auto"/>
            </w:tcBorders>
            <w:shd w:val="clear" w:color="auto" w:fill="auto"/>
          </w:tcPr>
          <w:p w14:paraId="724497A4" w14:textId="77777777" w:rsidR="00771086" w:rsidRPr="00DB5740" w:rsidRDefault="00771086" w:rsidP="00771086">
            <w:pPr>
              <w:autoSpaceDE w:val="0"/>
              <w:autoSpaceDN w:val="0"/>
              <w:adjustRightInd w:val="0"/>
              <w:rPr>
                <w:color w:val="FF0000"/>
              </w:rPr>
            </w:pPr>
          </w:p>
        </w:tc>
        <w:tc>
          <w:tcPr>
            <w:tcW w:w="584" w:type="pct"/>
            <w:tcBorders>
              <w:bottom w:val="single" w:sz="4" w:space="0" w:color="auto"/>
            </w:tcBorders>
            <w:shd w:val="clear" w:color="auto" w:fill="auto"/>
          </w:tcPr>
          <w:p w14:paraId="4C7A5ED2" w14:textId="77777777" w:rsidR="00771086" w:rsidRPr="00DB5740" w:rsidRDefault="005B5528" w:rsidP="00771086">
            <w:pPr>
              <w:autoSpaceDE w:val="0"/>
              <w:autoSpaceDN w:val="0"/>
              <w:adjustRightInd w:val="0"/>
              <w:jc w:val="center"/>
            </w:pPr>
            <w:hyperlink r:id="rId70" w:anchor="229.101" w:history="1">
              <w:r w:rsidRPr="00DB5740">
                <w:rPr>
                  <w:rStyle w:val="Hyperlink"/>
                </w:rPr>
                <w:t>101</w:t>
              </w:r>
              <w:bookmarkStart w:id="42" w:name="_Hlt94000297"/>
              <w:bookmarkStart w:id="43" w:name="_Hlt94000298"/>
              <w:r w:rsidRPr="00DB5740">
                <w:rPr>
                  <w:rStyle w:val="Hyperlink"/>
                </w:rPr>
                <w:t>(</w:t>
              </w:r>
              <w:bookmarkEnd w:id="42"/>
              <w:bookmarkEnd w:id="43"/>
              <w:r w:rsidRPr="00DB5740">
                <w:rPr>
                  <w:rStyle w:val="Hyperlink"/>
                </w:rPr>
                <w:t>h)</w:t>
              </w:r>
            </w:hyperlink>
          </w:p>
        </w:tc>
        <w:tc>
          <w:tcPr>
            <w:tcW w:w="1907" w:type="pct"/>
            <w:tcBorders>
              <w:bottom w:val="single" w:sz="4" w:space="0" w:color="auto"/>
            </w:tcBorders>
            <w:shd w:val="clear" w:color="auto" w:fill="auto"/>
          </w:tcPr>
          <w:p w14:paraId="0D947C07" w14:textId="77777777" w:rsidR="00771086" w:rsidRPr="00DB5740" w:rsidRDefault="005B5528" w:rsidP="00771086">
            <w:pPr>
              <w:pStyle w:val="BodyText"/>
              <w:keepNext/>
              <w:keepLines/>
              <w:spacing w:after="120"/>
            </w:pPr>
            <w:r w:rsidRPr="00DB5740">
              <w:rPr>
                <w:b/>
                <w:bCs/>
              </w:rPr>
              <w:t>Smaller reporting company disclosure accommodations (</w:t>
            </w:r>
            <w:r>
              <w:rPr>
                <w:b/>
                <w:bCs/>
              </w:rPr>
              <w:t>“</w:t>
            </w:r>
            <w:r w:rsidRPr="00DB5740">
              <w:rPr>
                <w:b/>
                <w:bCs/>
              </w:rPr>
              <w:t>scaled disclosure</w:t>
            </w:r>
            <w:r>
              <w:rPr>
                <w:b/>
                <w:bCs/>
              </w:rPr>
              <w:t>”</w:t>
            </w:r>
            <w:r w:rsidRPr="00DB5740">
              <w:rPr>
                <w:b/>
                <w:bCs/>
              </w:rPr>
              <w:t>)</w:t>
            </w:r>
          </w:p>
          <w:p w14:paraId="1466D4F0" w14:textId="77777777" w:rsidR="00771086" w:rsidRPr="00DB5740" w:rsidRDefault="005B5528" w:rsidP="00771086">
            <w:pPr>
              <w:keepNext/>
              <w:keepLines/>
              <w:autoSpaceDE w:val="0"/>
              <w:autoSpaceDN w:val="0"/>
              <w:adjustRightInd w:val="0"/>
              <w:spacing w:after="120"/>
            </w:pPr>
            <w:r w:rsidRPr="00DB5740">
              <w:t xml:space="preserve">Item 101(h) permits smaller reporting companies to provide </w:t>
            </w:r>
            <w:r>
              <w:t xml:space="preserve">some or all of </w:t>
            </w:r>
            <w:r w:rsidRPr="00DB5740">
              <w:t>the disclosure specified in Item 101(h) in lieu of the disclosure req</w:t>
            </w:r>
            <w:r w:rsidRPr="00DB5740">
              <w:t>uired by Item 101(c), at the company</w:t>
            </w:r>
            <w:r>
              <w:t>’</w:t>
            </w:r>
            <w:r w:rsidRPr="00DB5740">
              <w:t>s option.  In general terms, this includes:</w:t>
            </w:r>
          </w:p>
          <w:p w14:paraId="4803BE19" w14:textId="77777777" w:rsidR="00771086" w:rsidRPr="00DB5740" w:rsidRDefault="005B5528" w:rsidP="00771086">
            <w:pPr>
              <w:keepNext/>
              <w:keepLines/>
              <w:autoSpaceDE w:val="0"/>
              <w:autoSpaceDN w:val="0"/>
              <w:adjustRightInd w:val="0"/>
              <w:spacing w:after="120"/>
            </w:pPr>
            <w:r w:rsidRPr="00DB5740">
              <w:t>(1) the form and year of the company</w:t>
            </w:r>
            <w:r>
              <w:t>’</w:t>
            </w:r>
            <w:r w:rsidRPr="00DB5740">
              <w:t xml:space="preserve">s organization; </w:t>
            </w:r>
          </w:p>
          <w:p w14:paraId="52A0A6CA" w14:textId="77777777" w:rsidR="00771086" w:rsidRPr="00DB5740" w:rsidRDefault="005B5528" w:rsidP="00771086">
            <w:pPr>
              <w:keepNext/>
              <w:keepLines/>
              <w:autoSpaceDE w:val="0"/>
              <w:autoSpaceDN w:val="0"/>
              <w:adjustRightInd w:val="0"/>
              <w:spacing w:after="120"/>
            </w:pPr>
            <w:r w:rsidRPr="00DB5740">
              <w:t>(2) Any bankr</w:t>
            </w:r>
            <w:r>
              <w:t>u</w:t>
            </w:r>
            <w:r w:rsidRPr="00DB5740">
              <w:t>ptcy, receivershi</w:t>
            </w:r>
            <w:r>
              <w:t>p</w:t>
            </w:r>
            <w:r w:rsidRPr="00DB5740">
              <w:t xml:space="preserve"> or similar proceeding; and </w:t>
            </w:r>
          </w:p>
          <w:p w14:paraId="782B67D3" w14:textId="77777777" w:rsidR="00771086" w:rsidRPr="00DB5740" w:rsidRDefault="005B5528" w:rsidP="00771086">
            <w:pPr>
              <w:keepNext/>
              <w:keepLines/>
              <w:autoSpaceDE w:val="0"/>
              <w:autoSpaceDN w:val="0"/>
              <w:adjustRightInd w:val="0"/>
              <w:spacing w:after="120"/>
            </w:pPr>
            <w:r w:rsidRPr="00DB5740">
              <w:t>(3) Any material reclassification, merger, consolidation, or</w:t>
            </w:r>
            <w:r w:rsidRPr="00DB5740">
              <w:t xml:space="preserve"> purchase or sale of a significant amount of assets not in the ordinary course of business. </w:t>
            </w:r>
          </w:p>
          <w:p w14:paraId="343AFEB1" w14:textId="77777777" w:rsidR="00771086" w:rsidRPr="00DB5740" w:rsidRDefault="005B5528" w:rsidP="00771086">
            <w:pPr>
              <w:keepNext/>
              <w:keepLines/>
              <w:autoSpaceDE w:val="0"/>
              <w:autoSpaceDN w:val="0"/>
              <w:adjustRightInd w:val="0"/>
              <w:spacing w:after="120"/>
            </w:pPr>
            <w:r w:rsidRPr="00DB5740">
              <w:t>(4) Briefly describe the business and include, to the extent material to an understanding of the smaller report</w:t>
            </w:r>
            <w:r>
              <w:t>i</w:t>
            </w:r>
            <w:r w:rsidRPr="00DB5740">
              <w:t>ng company:</w:t>
            </w:r>
          </w:p>
          <w:p w14:paraId="56499BA6" w14:textId="77777777" w:rsidR="00771086" w:rsidRPr="00DB5740" w:rsidRDefault="005B5528" w:rsidP="00771086">
            <w:pPr>
              <w:keepNext/>
              <w:keepLines/>
              <w:autoSpaceDE w:val="0"/>
              <w:autoSpaceDN w:val="0"/>
              <w:adjustRightInd w:val="0"/>
              <w:spacing w:after="120"/>
              <w:ind w:left="241"/>
            </w:pPr>
            <w:r w:rsidRPr="00DB5740">
              <w:t>(i) P</w:t>
            </w:r>
            <w:r>
              <w:t>r</w:t>
            </w:r>
            <w:r w:rsidRPr="00DB5740">
              <w:t xml:space="preserve">incipal products or services and </w:t>
            </w:r>
            <w:r w:rsidRPr="00DB5740">
              <w:t>their markets;</w:t>
            </w:r>
          </w:p>
          <w:p w14:paraId="60E516DB" w14:textId="77777777" w:rsidR="00771086" w:rsidRPr="00DB5740" w:rsidRDefault="005B5528" w:rsidP="00771086">
            <w:pPr>
              <w:keepNext/>
              <w:keepLines/>
              <w:autoSpaceDE w:val="0"/>
              <w:autoSpaceDN w:val="0"/>
              <w:adjustRightInd w:val="0"/>
              <w:spacing w:after="120"/>
              <w:ind w:left="241"/>
            </w:pPr>
            <w:r w:rsidRPr="00DB5740">
              <w:t>(ii) Distribution methods of the products or services;</w:t>
            </w:r>
          </w:p>
          <w:p w14:paraId="4FAAAA72" w14:textId="77777777" w:rsidR="00771086" w:rsidRPr="00DB5740" w:rsidRDefault="005B5528" w:rsidP="00771086">
            <w:pPr>
              <w:keepNext/>
              <w:keepLines/>
              <w:autoSpaceDE w:val="0"/>
              <w:autoSpaceDN w:val="0"/>
              <w:adjustRightInd w:val="0"/>
              <w:spacing w:after="120"/>
              <w:ind w:left="241"/>
            </w:pPr>
            <w:r w:rsidRPr="00DB5740">
              <w:t xml:space="preserve">(iii) Status of any publicly announced new product or service; </w:t>
            </w:r>
          </w:p>
          <w:p w14:paraId="6159BDEA" w14:textId="77777777" w:rsidR="00771086" w:rsidRPr="00DB5740" w:rsidRDefault="005B5528" w:rsidP="00771086">
            <w:pPr>
              <w:keepNext/>
              <w:keepLines/>
              <w:autoSpaceDE w:val="0"/>
              <w:autoSpaceDN w:val="0"/>
              <w:adjustRightInd w:val="0"/>
              <w:spacing w:after="120"/>
              <w:ind w:left="241"/>
            </w:pPr>
            <w:r w:rsidRPr="00DB5740">
              <w:t>(iv) Competitive business conditions and the smaller reporting company</w:t>
            </w:r>
            <w:r>
              <w:t>’</w:t>
            </w:r>
            <w:r w:rsidRPr="00DB5740">
              <w:t xml:space="preserve">s competitive position in the industry and methods </w:t>
            </w:r>
            <w:r w:rsidRPr="00DB5740">
              <w:t>of competition;</w:t>
            </w:r>
          </w:p>
          <w:p w14:paraId="4AD7A66E" w14:textId="77777777" w:rsidR="00771086" w:rsidRPr="00DB5740" w:rsidRDefault="005B5528" w:rsidP="00771086">
            <w:pPr>
              <w:keepNext/>
              <w:keepLines/>
              <w:autoSpaceDE w:val="0"/>
              <w:autoSpaceDN w:val="0"/>
              <w:adjustRightInd w:val="0"/>
              <w:spacing w:after="120"/>
              <w:ind w:left="241"/>
            </w:pPr>
            <w:r w:rsidRPr="00DB5740">
              <w:t>(v) Sources and availability of raw materials and the names of principal suppliers;</w:t>
            </w:r>
          </w:p>
          <w:p w14:paraId="4E189D6E" w14:textId="77777777" w:rsidR="00771086" w:rsidRPr="00DB5740" w:rsidRDefault="005B5528" w:rsidP="00771086">
            <w:pPr>
              <w:keepNext/>
              <w:keepLines/>
              <w:autoSpaceDE w:val="0"/>
              <w:autoSpaceDN w:val="0"/>
              <w:adjustRightInd w:val="0"/>
              <w:spacing w:after="120"/>
              <w:ind w:left="241"/>
            </w:pPr>
            <w:r w:rsidRPr="00DB5740">
              <w:t>(vi) Dependence on one or a few major customers;</w:t>
            </w:r>
          </w:p>
          <w:p w14:paraId="215C6C24" w14:textId="77777777" w:rsidR="00771086" w:rsidRPr="00DB5740" w:rsidRDefault="005B5528" w:rsidP="00771086">
            <w:pPr>
              <w:keepNext/>
              <w:keepLines/>
              <w:autoSpaceDE w:val="0"/>
              <w:autoSpaceDN w:val="0"/>
              <w:adjustRightInd w:val="0"/>
              <w:spacing w:after="120"/>
              <w:ind w:left="241"/>
            </w:pPr>
            <w:r w:rsidRPr="00DB5740">
              <w:t>(vii) Patents, trademarks, licenses, franchises, concessions, royalty agreements or labor contracts, includ</w:t>
            </w:r>
            <w:r w:rsidRPr="00DB5740">
              <w:t>ing duration;</w:t>
            </w:r>
          </w:p>
        </w:tc>
        <w:tc>
          <w:tcPr>
            <w:tcW w:w="925" w:type="pct"/>
            <w:tcBorders>
              <w:bottom w:val="single" w:sz="4" w:space="0" w:color="auto"/>
            </w:tcBorders>
            <w:shd w:val="clear" w:color="auto" w:fill="auto"/>
          </w:tcPr>
          <w:p w14:paraId="71AD591F" w14:textId="77777777" w:rsidR="00771086" w:rsidRPr="00DB5740" w:rsidRDefault="00771086" w:rsidP="00771086">
            <w:pPr>
              <w:autoSpaceDE w:val="0"/>
              <w:autoSpaceDN w:val="0"/>
              <w:adjustRightInd w:val="0"/>
              <w:spacing w:after="120"/>
              <w:rPr>
                <w:sz w:val="18"/>
                <w:szCs w:val="18"/>
              </w:rPr>
            </w:pPr>
          </w:p>
        </w:tc>
        <w:tc>
          <w:tcPr>
            <w:tcW w:w="585" w:type="pct"/>
            <w:tcBorders>
              <w:bottom w:val="single" w:sz="4" w:space="0" w:color="auto"/>
            </w:tcBorders>
            <w:shd w:val="clear" w:color="auto" w:fill="auto"/>
          </w:tcPr>
          <w:p w14:paraId="2240F55F" w14:textId="77777777" w:rsidR="00771086" w:rsidRPr="00DB5740" w:rsidRDefault="00771086" w:rsidP="00BF3B62">
            <w:pPr>
              <w:pStyle w:val="ListBullet"/>
              <w:numPr>
                <w:ilvl w:val="0"/>
                <w:numId w:val="0"/>
              </w:numPr>
              <w:ind w:left="778"/>
            </w:pPr>
          </w:p>
        </w:tc>
        <w:tc>
          <w:tcPr>
            <w:tcW w:w="314" w:type="pct"/>
            <w:gridSpan w:val="2"/>
            <w:tcBorders>
              <w:bottom w:val="single" w:sz="4" w:space="0" w:color="auto"/>
            </w:tcBorders>
            <w:shd w:val="clear" w:color="auto" w:fill="auto"/>
            <w:vAlign w:val="center"/>
          </w:tcPr>
          <w:p w14:paraId="311201C6" w14:textId="77777777" w:rsidR="00771086" w:rsidRPr="00DB5740" w:rsidRDefault="00771086" w:rsidP="00771086">
            <w:pPr>
              <w:jc w:val="center"/>
            </w:pPr>
          </w:p>
        </w:tc>
      </w:tr>
      <w:tr w:rsidR="00000000" w14:paraId="58ACCFBE" w14:textId="77777777" w:rsidTr="00BF4090">
        <w:trPr>
          <w:cantSplit/>
          <w:jc w:val="center"/>
        </w:trPr>
        <w:tc>
          <w:tcPr>
            <w:tcW w:w="685" w:type="pct"/>
            <w:tcBorders>
              <w:bottom w:val="single" w:sz="4" w:space="0" w:color="auto"/>
            </w:tcBorders>
            <w:shd w:val="clear" w:color="auto" w:fill="auto"/>
          </w:tcPr>
          <w:p w14:paraId="57353407" w14:textId="77777777" w:rsidR="00771086" w:rsidRPr="00DB5740" w:rsidRDefault="00771086" w:rsidP="00771086">
            <w:pPr>
              <w:autoSpaceDE w:val="0"/>
              <w:autoSpaceDN w:val="0"/>
              <w:adjustRightInd w:val="0"/>
              <w:rPr>
                <w:color w:val="FF0000"/>
              </w:rPr>
            </w:pPr>
          </w:p>
        </w:tc>
        <w:tc>
          <w:tcPr>
            <w:tcW w:w="584" w:type="pct"/>
            <w:tcBorders>
              <w:bottom w:val="single" w:sz="4" w:space="0" w:color="auto"/>
            </w:tcBorders>
            <w:shd w:val="clear" w:color="auto" w:fill="auto"/>
          </w:tcPr>
          <w:p w14:paraId="2F19C5F6" w14:textId="77777777" w:rsidR="00771086" w:rsidRPr="00DB5740" w:rsidRDefault="00771086" w:rsidP="00771086">
            <w:pPr>
              <w:autoSpaceDE w:val="0"/>
              <w:autoSpaceDN w:val="0"/>
              <w:adjustRightInd w:val="0"/>
              <w:jc w:val="center"/>
            </w:pPr>
          </w:p>
        </w:tc>
        <w:tc>
          <w:tcPr>
            <w:tcW w:w="1907" w:type="pct"/>
            <w:tcBorders>
              <w:bottom w:val="single" w:sz="4" w:space="0" w:color="auto"/>
            </w:tcBorders>
            <w:shd w:val="clear" w:color="auto" w:fill="auto"/>
          </w:tcPr>
          <w:p w14:paraId="0ACC4AE8" w14:textId="77777777" w:rsidR="00771086" w:rsidRPr="00DB5740" w:rsidRDefault="005B5528" w:rsidP="00771086">
            <w:pPr>
              <w:keepNext/>
              <w:keepLines/>
              <w:autoSpaceDE w:val="0"/>
              <w:autoSpaceDN w:val="0"/>
              <w:adjustRightInd w:val="0"/>
              <w:spacing w:after="120"/>
              <w:ind w:left="241"/>
            </w:pPr>
            <w:r w:rsidRPr="00DB5740">
              <w:rPr>
                <w:rStyle w:val="enumxml"/>
                <w:rFonts w:cs="Calibri"/>
                <w:b/>
                <w:bCs/>
                <w:color w:val="333333"/>
              </w:rPr>
              <w:t>(</w:t>
            </w:r>
            <w:r w:rsidRPr="00DB5740">
              <w:t>viii) Need for any government approval of principal products or services.  If government approval is necessary and the smaller reporting company has not yet received that approval, discuss the status of the approval within the governme</w:t>
            </w:r>
            <w:r w:rsidRPr="00DB5740">
              <w:t xml:space="preserve">nt approval process; </w:t>
            </w:r>
          </w:p>
          <w:p w14:paraId="5A626645" w14:textId="77777777" w:rsidR="00771086" w:rsidRPr="00DB5740" w:rsidRDefault="005B5528" w:rsidP="00771086">
            <w:pPr>
              <w:keepNext/>
              <w:keepLines/>
              <w:autoSpaceDE w:val="0"/>
              <w:autoSpaceDN w:val="0"/>
              <w:adjustRightInd w:val="0"/>
              <w:spacing w:after="120"/>
              <w:ind w:left="241"/>
            </w:pPr>
            <w:r w:rsidRPr="00DB5740">
              <w:t>(ix) Effect of existing or probable governmental regulations on the business;</w:t>
            </w:r>
          </w:p>
          <w:p w14:paraId="0BFA438E" w14:textId="77777777" w:rsidR="00771086" w:rsidRPr="00DB5740" w:rsidRDefault="005B5528" w:rsidP="00771086">
            <w:pPr>
              <w:keepNext/>
              <w:keepLines/>
              <w:autoSpaceDE w:val="0"/>
              <w:autoSpaceDN w:val="0"/>
              <w:adjustRightInd w:val="0"/>
              <w:spacing w:after="120"/>
              <w:ind w:left="241"/>
            </w:pPr>
            <w:r w:rsidRPr="00DB5740">
              <w:t>(x) [Reserved]</w:t>
            </w:r>
          </w:p>
          <w:p w14:paraId="1AFE53F0" w14:textId="77777777" w:rsidR="00771086" w:rsidRPr="00DB5740" w:rsidRDefault="005B5528" w:rsidP="00771086">
            <w:pPr>
              <w:keepNext/>
              <w:keepLines/>
              <w:autoSpaceDE w:val="0"/>
              <w:autoSpaceDN w:val="0"/>
              <w:adjustRightInd w:val="0"/>
              <w:spacing w:after="120"/>
              <w:ind w:left="241"/>
            </w:pPr>
            <w:r w:rsidRPr="00DB5740">
              <w:t>(xi) Costs and effects of compliance with environmental laws (federal, state and local); and</w:t>
            </w:r>
          </w:p>
          <w:p w14:paraId="29E6DE41" w14:textId="77777777" w:rsidR="00771086" w:rsidRPr="00DB5740" w:rsidRDefault="005B5528" w:rsidP="00771086">
            <w:pPr>
              <w:keepNext/>
              <w:keepLines/>
              <w:autoSpaceDE w:val="0"/>
              <w:autoSpaceDN w:val="0"/>
              <w:adjustRightInd w:val="0"/>
              <w:spacing w:after="120"/>
              <w:ind w:left="241"/>
            </w:pPr>
            <w:r w:rsidRPr="00DB5740">
              <w:t>(xii) Number of total </w:t>
            </w:r>
            <w:hyperlink r:id="rId71" w:history="1">
              <w:r w:rsidRPr="00DB5740">
                <w:t>employees</w:t>
              </w:r>
            </w:hyperlink>
            <w:r w:rsidRPr="00DB5740">
              <w:t> and number of full-time </w:t>
            </w:r>
            <w:hyperlink r:id="rId72" w:history="1">
              <w:r w:rsidRPr="00DB5740">
                <w:t>employees</w:t>
              </w:r>
            </w:hyperlink>
            <w:r w:rsidRPr="00DB5740">
              <w:t>.</w:t>
            </w:r>
          </w:p>
          <w:p w14:paraId="18E922B5" w14:textId="77777777" w:rsidR="00771086" w:rsidRPr="00DB5740" w:rsidRDefault="005B5528" w:rsidP="00771086">
            <w:pPr>
              <w:keepNext/>
              <w:keepLines/>
              <w:autoSpaceDE w:val="0"/>
              <w:autoSpaceDN w:val="0"/>
              <w:adjustRightInd w:val="0"/>
              <w:spacing w:after="120"/>
            </w:pPr>
            <w:r w:rsidRPr="00DB5740">
              <w:t>(5) Reports to security holders, including whether the comp</w:t>
            </w:r>
            <w:r w:rsidRPr="00DB5740">
              <w:t>any is required to send annual reports to security holders or does so voluntarily; whether the company files reports with the SEC and the reports and other information the company files; a statement about the availability of the company</w:t>
            </w:r>
            <w:r>
              <w:t>’</w:t>
            </w:r>
            <w:r w:rsidRPr="00DB5740">
              <w:t xml:space="preserve">s filings on the </w:t>
            </w:r>
            <w:hyperlink r:id="rId73" w:history="1">
              <w:r w:rsidRPr="004E5E37">
                <w:rPr>
                  <w:rStyle w:val="Hyperlink"/>
                </w:rPr>
                <w:t>SEC web site</w:t>
              </w:r>
            </w:hyperlink>
            <w:r w:rsidRPr="00DB5740">
              <w:t>, and the company</w:t>
            </w:r>
            <w:r>
              <w:t>’</w:t>
            </w:r>
            <w:r w:rsidRPr="00DB5740">
              <w:t>s internet address, if available.</w:t>
            </w:r>
          </w:p>
        </w:tc>
        <w:tc>
          <w:tcPr>
            <w:tcW w:w="925" w:type="pct"/>
            <w:tcBorders>
              <w:bottom w:val="single" w:sz="4" w:space="0" w:color="auto"/>
            </w:tcBorders>
            <w:shd w:val="clear" w:color="auto" w:fill="auto"/>
          </w:tcPr>
          <w:p w14:paraId="42E52AFB" w14:textId="77777777" w:rsidR="00771086" w:rsidRPr="00DB5740" w:rsidRDefault="00771086" w:rsidP="00771086">
            <w:pPr>
              <w:autoSpaceDE w:val="0"/>
              <w:autoSpaceDN w:val="0"/>
              <w:adjustRightInd w:val="0"/>
              <w:spacing w:after="120"/>
              <w:rPr>
                <w:sz w:val="18"/>
                <w:szCs w:val="18"/>
              </w:rPr>
            </w:pPr>
          </w:p>
        </w:tc>
        <w:tc>
          <w:tcPr>
            <w:tcW w:w="585" w:type="pct"/>
            <w:tcBorders>
              <w:bottom w:val="single" w:sz="4" w:space="0" w:color="auto"/>
            </w:tcBorders>
            <w:shd w:val="clear" w:color="auto" w:fill="auto"/>
          </w:tcPr>
          <w:p w14:paraId="6CAEC5FC" w14:textId="77777777" w:rsidR="00771086" w:rsidRPr="00DB5740" w:rsidRDefault="00771086" w:rsidP="00BF3B62">
            <w:pPr>
              <w:pStyle w:val="ListBullet"/>
              <w:numPr>
                <w:ilvl w:val="0"/>
                <w:numId w:val="0"/>
              </w:numPr>
              <w:ind w:left="778"/>
            </w:pPr>
          </w:p>
        </w:tc>
        <w:tc>
          <w:tcPr>
            <w:tcW w:w="314" w:type="pct"/>
            <w:gridSpan w:val="2"/>
            <w:tcBorders>
              <w:bottom w:val="single" w:sz="4" w:space="0" w:color="auto"/>
            </w:tcBorders>
            <w:shd w:val="clear" w:color="auto" w:fill="auto"/>
            <w:vAlign w:val="center"/>
          </w:tcPr>
          <w:p w14:paraId="07EE367B" w14:textId="77777777" w:rsidR="00771086" w:rsidRPr="00DB5740" w:rsidRDefault="00771086" w:rsidP="00771086">
            <w:pPr>
              <w:jc w:val="center"/>
            </w:pPr>
          </w:p>
        </w:tc>
      </w:tr>
      <w:tr w:rsidR="00000000" w14:paraId="4422BB53" w14:textId="77777777" w:rsidTr="00DB5740">
        <w:trPr>
          <w:cantSplit/>
          <w:jc w:val="center"/>
        </w:trPr>
        <w:tc>
          <w:tcPr>
            <w:tcW w:w="5000" w:type="pct"/>
            <w:gridSpan w:val="7"/>
            <w:tcBorders>
              <w:bottom w:val="single" w:sz="4" w:space="0" w:color="auto"/>
            </w:tcBorders>
            <w:shd w:val="clear" w:color="auto" w:fill="D9D9D9"/>
          </w:tcPr>
          <w:p w14:paraId="78AA9BAA" w14:textId="77777777" w:rsidR="00771086" w:rsidRPr="00DB5740" w:rsidRDefault="005B5528" w:rsidP="00771086">
            <w:pPr>
              <w:pStyle w:val="BodyText"/>
              <w:keepNext/>
              <w:keepLines/>
              <w:spacing w:after="120"/>
            </w:pPr>
            <w:r w:rsidRPr="00DB5740">
              <w:rPr>
                <w:b/>
                <w:bCs/>
              </w:rPr>
              <w:t>Item 1A.  Risk Factors.</w:t>
            </w:r>
          </w:p>
        </w:tc>
      </w:tr>
      <w:tr w:rsidR="00000000" w14:paraId="2196CA2C"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auto"/>
          </w:tcPr>
          <w:p w14:paraId="03792EA8" w14:textId="77777777" w:rsidR="00771086" w:rsidRPr="00DB5740" w:rsidRDefault="005B5528" w:rsidP="00771086">
            <w:pPr>
              <w:autoSpaceDE w:val="0"/>
              <w:autoSpaceDN w:val="0"/>
              <w:adjustRightInd w:val="0"/>
            </w:pPr>
            <w:r w:rsidRPr="00DB5740">
              <w:t>Item 1A. Risk Factors</w:t>
            </w:r>
          </w:p>
          <w:p w14:paraId="5AFF8BCA" w14:textId="77777777" w:rsidR="00771086" w:rsidRPr="00DB5740" w:rsidRDefault="00771086" w:rsidP="00771086">
            <w:pPr>
              <w:autoSpaceDE w:val="0"/>
              <w:autoSpaceDN w:val="0"/>
              <w:adjustRightInd w:val="0"/>
            </w:pPr>
          </w:p>
        </w:tc>
        <w:tc>
          <w:tcPr>
            <w:tcW w:w="584" w:type="pct"/>
            <w:tcBorders>
              <w:top w:val="single" w:sz="4" w:space="0" w:color="auto"/>
              <w:bottom w:val="single" w:sz="4" w:space="0" w:color="auto"/>
            </w:tcBorders>
            <w:shd w:val="clear" w:color="auto" w:fill="auto"/>
          </w:tcPr>
          <w:p w14:paraId="18A2BD65" w14:textId="77777777" w:rsidR="00771086" w:rsidRPr="00DB5740" w:rsidRDefault="005B5528" w:rsidP="00771086">
            <w:pPr>
              <w:autoSpaceDE w:val="0"/>
              <w:autoSpaceDN w:val="0"/>
              <w:adjustRightInd w:val="0"/>
              <w:jc w:val="center"/>
            </w:pPr>
            <w:hyperlink r:id="rId74" w:anchor="229.105" w:history="1">
              <w:r w:rsidRPr="00DB5740">
                <w:rPr>
                  <w:rStyle w:val="Hyperlink"/>
                </w:rPr>
                <w:t>105</w:t>
              </w:r>
            </w:hyperlink>
          </w:p>
        </w:tc>
        <w:tc>
          <w:tcPr>
            <w:tcW w:w="1907" w:type="pct"/>
            <w:tcBorders>
              <w:top w:val="single" w:sz="4" w:space="0" w:color="auto"/>
              <w:bottom w:val="single" w:sz="4" w:space="0" w:color="auto"/>
            </w:tcBorders>
            <w:shd w:val="clear" w:color="auto" w:fill="auto"/>
          </w:tcPr>
          <w:p w14:paraId="36488C95" w14:textId="77777777" w:rsidR="00771086" w:rsidRPr="00DB5740" w:rsidRDefault="005B5528" w:rsidP="00771086">
            <w:pPr>
              <w:keepNext/>
              <w:keepLines/>
              <w:autoSpaceDE w:val="0"/>
              <w:autoSpaceDN w:val="0"/>
              <w:adjustRightInd w:val="0"/>
              <w:spacing w:after="120"/>
            </w:pPr>
            <w:r w:rsidRPr="00DB5740">
              <w:t>Review risk factors applicable to the company</w:t>
            </w:r>
            <w:r>
              <w:t>’</w:t>
            </w:r>
            <w:r w:rsidRPr="00DB5740">
              <w:t>s business and finances, including prior disclosures and known or foreseeable developments.</w:t>
            </w:r>
          </w:p>
          <w:p w14:paraId="1845EF25" w14:textId="77777777" w:rsidR="00771086" w:rsidRPr="00215BB8" w:rsidRDefault="005B5528" w:rsidP="00771086">
            <w:pPr>
              <w:keepNext/>
              <w:keepLines/>
              <w:autoSpaceDE w:val="0"/>
              <w:autoSpaceDN w:val="0"/>
              <w:adjustRightInd w:val="0"/>
              <w:spacing w:after="120"/>
              <w:rPr>
                <w:i/>
                <w:iCs/>
              </w:rPr>
            </w:pPr>
            <w:r w:rsidRPr="00215BB8">
              <w:rPr>
                <w:i/>
                <w:iCs/>
              </w:rPr>
              <w:t>Confirm that the risk factors section includes risk factors that are material to t</w:t>
            </w:r>
            <w:r w:rsidRPr="00215BB8">
              <w:rPr>
                <w:i/>
                <w:iCs/>
              </w:rPr>
              <w:t>he company.</w:t>
            </w:r>
          </w:p>
          <w:p w14:paraId="4DF42F10" w14:textId="77777777" w:rsidR="00771086" w:rsidRPr="00DB5740" w:rsidRDefault="005B5528" w:rsidP="00771086">
            <w:pPr>
              <w:keepNext/>
              <w:keepLines/>
              <w:autoSpaceDE w:val="0"/>
              <w:autoSpaceDN w:val="0"/>
              <w:adjustRightInd w:val="0"/>
              <w:spacing w:after="120"/>
            </w:pPr>
            <w:r w:rsidRPr="00215BB8">
              <w:rPr>
                <w:i/>
                <w:iCs/>
              </w:rPr>
              <w:t>Confirm that the risk factors have been updated to reflect any material developments and any material changes.</w:t>
            </w:r>
          </w:p>
        </w:tc>
        <w:tc>
          <w:tcPr>
            <w:tcW w:w="925" w:type="pct"/>
            <w:tcBorders>
              <w:top w:val="single" w:sz="4" w:space="0" w:color="auto"/>
              <w:bottom w:val="single" w:sz="4" w:space="0" w:color="auto"/>
            </w:tcBorders>
            <w:shd w:val="clear" w:color="auto" w:fill="auto"/>
          </w:tcPr>
          <w:p w14:paraId="2BBE63BD" w14:textId="77777777" w:rsidR="00771086" w:rsidRPr="00DB5740" w:rsidRDefault="005B5528" w:rsidP="00771086">
            <w:pPr>
              <w:autoSpaceDE w:val="0"/>
              <w:autoSpaceDN w:val="0"/>
              <w:adjustRightInd w:val="0"/>
              <w:spacing w:after="120"/>
            </w:pPr>
            <w:hyperlink r:id="rId75" w:history="1">
              <w:r w:rsidRPr="00DB5740">
                <w:rPr>
                  <w:rStyle w:val="Hyperlink"/>
                </w:rPr>
                <w:t xml:space="preserve">SEC Adopts Third Round of </w:t>
              </w:r>
              <w:r w:rsidRPr="00DB5740">
                <w:rPr>
                  <w:rStyle w:val="Hyperlink"/>
                </w:rPr>
                <w:t>Disclosure M</w:t>
              </w:r>
              <w:bookmarkStart w:id="44" w:name="_Hlt93580645"/>
              <w:bookmarkStart w:id="45" w:name="_Hlt93580646"/>
              <w:r w:rsidRPr="00DB5740">
                <w:rPr>
                  <w:rStyle w:val="Hyperlink"/>
                </w:rPr>
                <w:t>o</w:t>
              </w:r>
              <w:bookmarkStart w:id="46" w:name="_Hlt94000568"/>
              <w:bookmarkStart w:id="47" w:name="_Hlt94000569"/>
              <w:bookmarkEnd w:id="44"/>
              <w:bookmarkEnd w:id="45"/>
              <w:r w:rsidRPr="00DB5740">
                <w:rPr>
                  <w:rStyle w:val="Hyperlink"/>
                </w:rPr>
                <w:t>d</w:t>
              </w:r>
              <w:bookmarkEnd w:id="46"/>
              <w:bookmarkEnd w:id="47"/>
              <w:r w:rsidRPr="00DB5740">
                <w:rPr>
                  <w:rStyle w:val="Hyperlink"/>
                </w:rPr>
                <w:t>ernization</w:t>
              </w:r>
            </w:hyperlink>
            <w:r w:rsidRPr="00DB5740">
              <w:t xml:space="preserve"> (Goodwin alert)</w:t>
            </w:r>
          </w:p>
        </w:tc>
        <w:tc>
          <w:tcPr>
            <w:tcW w:w="585" w:type="pct"/>
            <w:tcBorders>
              <w:top w:val="single" w:sz="4" w:space="0" w:color="auto"/>
              <w:bottom w:val="single" w:sz="4" w:space="0" w:color="auto"/>
              <w:right w:val="single" w:sz="4" w:space="0" w:color="auto"/>
            </w:tcBorders>
            <w:shd w:val="clear" w:color="auto" w:fill="auto"/>
          </w:tcPr>
          <w:p w14:paraId="420504DB" w14:textId="77777777" w:rsidR="00771086" w:rsidRPr="00DB5740" w:rsidRDefault="00771086" w:rsidP="00771086">
            <w:pPr>
              <w:autoSpaceDE w:val="0"/>
              <w:autoSpaceDN w:val="0"/>
              <w:adjustRightInd w:val="0"/>
              <w:rPr>
                <w:highlight w:val="yellow"/>
              </w:rPr>
            </w:pPr>
          </w:p>
        </w:tc>
        <w:tc>
          <w:tcPr>
            <w:tcW w:w="314" w:type="pct"/>
            <w:gridSpan w:val="2"/>
            <w:tcBorders>
              <w:bottom w:val="single" w:sz="4" w:space="0" w:color="auto"/>
            </w:tcBorders>
            <w:shd w:val="clear" w:color="auto" w:fill="auto"/>
            <w:vAlign w:val="center"/>
          </w:tcPr>
          <w:p w14:paraId="55980C11"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4513BF18" w14:textId="77777777" w:rsidR="00771086" w:rsidRPr="00DB5740" w:rsidRDefault="005B5528" w:rsidP="00771086">
            <w:pPr>
              <w:autoSpaceDE w:val="0"/>
              <w:autoSpaceDN w:val="0"/>
              <w:adjustRightInd w:val="0"/>
              <w:jc w:val="center"/>
              <w:rPr>
                <w:highlight w:val="yellow"/>
              </w:rPr>
            </w:pPr>
            <w:r w:rsidRPr="00DB5740">
              <w:t xml:space="preserve">No  </w:t>
            </w:r>
            <w:r w:rsidRPr="00DB5740">
              <w:rPr>
                <w:rFonts w:ascii="Segoe UI Symbol" w:eastAsia="MS Gothic" w:hAnsi="Segoe UI Symbol" w:cs="Segoe UI Symbol"/>
              </w:rPr>
              <w:t>☐</w:t>
            </w:r>
          </w:p>
        </w:tc>
      </w:tr>
      <w:tr w:rsidR="00000000" w14:paraId="4AB331D6" w14:textId="77777777" w:rsidTr="00BF4090">
        <w:trPr>
          <w:cantSplit/>
          <w:jc w:val="center"/>
        </w:trPr>
        <w:tc>
          <w:tcPr>
            <w:tcW w:w="685" w:type="pct"/>
            <w:tcBorders>
              <w:top w:val="single" w:sz="4" w:space="0" w:color="auto"/>
              <w:left w:val="single" w:sz="4" w:space="0" w:color="auto"/>
            </w:tcBorders>
            <w:shd w:val="clear" w:color="auto" w:fill="auto"/>
          </w:tcPr>
          <w:p w14:paraId="30D6B448" w14:textId="77777777" w:rsidR="00771086" w:rsidRPr="00DB5740" w:rsidRDefault="00771086" w:rsidP="00771086">
            <w:pPr>
              <w:autoSpaceDE w:val="0"/>
              <w:autoSpaceDN w:val="0"/>
              <w:adjustRightInd w:val="0"/>
            </w:pPr>
          </w:p>
        </w:tc>
        <w:tc>
          <w:tcPr>
            <w:tcW w:w="584" w:type="pct"/>
            <w:tcBorders>
              <w:top w:val="single" w:sz="4" w:space="0" w:color="auto"/>
            </w:tcBorders>
            <w:shd w:val="clear" w:color="auto" w:fill="auto"/>
          </w:tcPr>
          <w:p w14:paraId="37CEEDC5" w14:textId="77777777" w:rsidR="00771086" w:rsidRPr="00DB5740" w:rsidRDefault="00771086" w:rsidP="00771086">
            <w:pPr>
              <w:autoSpaceDE w:val="0"/>
              <w:autoSpaceDN w:val="0"/>
              <w:adjustRightInd w:val="0"/>
              <w:jc w:val="center"/>
            </w:pPr>
          </w:p>
        </w:tc>
        <w:tc>
          <w:tcPr>
            <w:tcW w:w="1907" w:type="pct"/>
            <w:tcBorders>
              <w:top w:val="single" w:sz="4" w:space="0" w:color="auto"/>
            </w:tcBorders>
            <w:shd w:val="clear" w:color="auto" w:fill="auto"/>
          </w:tcPr>
          <w:p w14:paraId="18848093" w14:textId="77777777" w:rsidR="00771086" w:rsidRPr="00215BB8" w:rsidRDefault="005B5528" w:rsidP="00771086">
            <w:pPr>
              <w:autoSpaceDE w:val="0"/>
              <w:autoSpaceDN w:val="0"/>
              <w:adjustRightInd w:val="0"/>
              <w:spacing w:after="120"/>
              <w:rPr>
                <w:b/>
                <w:bCs/>
                <w:i/>
                <w:iCs/>
              </w:rPr>
            </w:pPr>
            <w:r w:rsidRPr="00215BB8">
              <w:rPr>
                <w:b/>
                <w:bCs/>
                <w:i/>
                <w:iCs/>
              </w:rPr>
              <w:t>Confirm that the risk factors section in the draft Form 10-K is not more than 15 pages.</w:t>
            </w:r>
          </w:p>
          <w:p w14:paraId="2E45515C" w14:textId="77777777" w:rsidR="00771086" w:rsidRPr="00215BB8" w:rsidRDefault="005B5528" w:rsidP="00771086">
            <w:pPr>
              <w:autoSpaceDE w:val="0"/>
              <w:autoSpaceDN w:val="0"/>
              <w:adjustRightInd w:val="0"/>
              <w:spacing w:after="120"/>
              <w:rPr>
                <w:i/>
                <w:iCs/>
              </w:rPr>
            </w:pPr>
            <w:r w:rsidRPr="00215BB8">
              <w:rPr>
                <w:i/>
                <w:iCs/>
              </w:rPr>
              <w:t>If the risk factors section exceeds 15 pages, confirm that the Form 10</w:t>
            </w:r>
            <w:r w:rsidRPr="00215BB8">
              <w:rPr>
                <w:i/>
                <w:iCs/>
              </w:rPr>
              <w:noBreakHyphen/>
              <w:t>K includes a summary of the principal r</w:t>
            </w:r>
            <w:r w:rsidRPr="00215BB8">
              <w:rPr>
                <w:i/>
                <w:iCs/>
              </w:rPr>
              <w:t>isk factors.</w:t>
            </w:r>
          </w:p>
          <w:p w14:paraId="344EF49D" w14:textId="77777777" w:rsidR="00771086" w:rsidRPr="00215BB8" w:rsidRDefault="005B5528" w:rsidP="00771086">
            <w:pPr>
              <w:numPr>
                <w:ilvl w:val="0"/>
                <w:numId w:val="14"/>
              </w:numPr>
              <w:autoSpaceDE w:val="0"/>
              <w:autoSpaceDN w:val="0"/>
              <w:adjustRightInd w:val="0"/>
              <w:spacing w:after="120"/>
              <w:ind w:left="421"/>
              <w:rPr>
                <w:i/>
                <w:iCs/>
              </w:rPr>
            </w:pPr>
            <w:r w:rsidRPr="00215BB8">
              <w:rPr>
                <w:i/>
                <w:iCs/>
              </w:rPr>
              <w:t>The summary must not exceed two pages.</w:t>
            </w:r>
          </w:p>
          <w:p w14:paraId="540AFBBB" w14:textId="77777777" w:rsidR="00771086" w:rsidRPr="00215BB8" w:rsidRDefault="005B5528" w:rsidP="00771086">
            <w:pPr>
              <w:numPr>
                <w:ilvl w:val="0"/>
                <w:numId w:val="14"/>
              </w:numPr>
              <w:autoSpaceDE w:val="0"/>
              <w:autoSpaceDN w:val="0"/>
              <w:adjustRightInd w:val="0"/>
              <w:spacing w:after="120"/>
              <w:ind w:left="421"/>
              <w:rPr>
                <w:i/>
                <w:iCs/>
              </w:rPr>
            </w:pPr>
            <w:r w:rsidRPr="00215BB8">
              <w:rPr>
                <w:i/>
                <w:iCs/>
              </w:rPr>
              <w:t>The summary must be located at the beginning of the Form 10</w:t>
            </w:r>
            <w:r w:rsidRPr="00215BB8">
              <w:rPr>
                <w:i/>
                <w:iCs/>
              </w:rPr>
              <w:noBreakHyphen/>
              <w:t>K report, although some companies provide it at the beginning of the Risk Factors section.</w:t>
            </w:r>
          </w:p>
          <w:p w14:paraId="446826D3" w14:textId="77777777" w:rsidR="00771086" w:rsidRPr="00215BB8" w:rsidRDefault="005B5528" w:rsidP="00771086">
            <w:pPr>
              <w:autoSpaceDE w:val="0"/>
              <w:autoSpaceDN w:val="0"/>
              <w:adjustRightInd w:val="0"/>
              <w:spacing w:after="120"/>
              <w:rPr>
                <w:i/>
                <w:iCs/>
              </w:rPr>
            </w:pPr>
            <w:r w:rsidRPr="00215BB8">
              <w:rPr>
                <w:b/>
                <w:bCs/>
                <w:i/>
                <w:iCs/>
              </w:rPr>
              <w:t>Confirm immediately before filing that the risk facto</w:t>
            </w:r>
            <w:r w:rsidRPr="00215BB8">
              <w:rPr>
                <w:b/>
                <w:bCs/>
                <w:i/>
                <w:iCs/>
              </w:rPr>
              <w:t>rs section is not more than 15 pages or that an appropriate summary is included in the Form 10</w:t>
            </w:r>
            <w:r w:rsidRPr="00215BB8">
              <w:rPr>
                <w:b/>
                <w:bCs/>
                <w:i/>
                <w:iCs/>
              </w:rPr>
              <w:noBreakHyphen/>
              <w:t>K.</w:t>
            </w:r>
          </w:p>
          <w:p w14:paraId="6AA64A16" w14:textId="77777777" w:rsidR="00771086" w:rsidRPr="00215BB8" w:rsidRDefault="005B5528" w:rsidP="00771086">
            <w:pPr>
              <w:autoSpaceDE w:val="0"/>
              <w:autoSpaceDN w:val="0"/>
              <w:adjustRightInd w:val="0"/>
              <w:spacing w:after="120"/>
              <w:rPr>
                <w:i/>
                <w:iCs/>
              </w:rPr>
            </w:pPr>
            <w:r w:rsidRPr="00215BB8">
              <w:rPr>
                <w:i/>
                <w:iCs/>
              </w:rPr>
              <w:t>Confirm that the risk factors are grouped by general topic under appropriate headings and that each risk factor has a subcaption that adequately summarizes th</w:t>
            </w:r>
            <w:r w:rsidRPr="00215BB8">
              <w:rPr>
                <w:i/>
                <w:iCs/>
              </w:rPr>
              <w:t>e risk.</w:t>
            </w:r>
          </w:p>
          <w:p w14:paraId="08751B3E" w14:textId="77777777" w:rsidR="00771086" w:rsidRPr="00DB5740" w:rsidRDefault="005B5528" w:rsidP="00771086">
            <w:pPr>
              <w:autoSpaceDE w:val="0"/>
              <w:autoSpaceDN w:val="0"/>
              <w:adjustRightInd w:val="0"/>
              <w:spacing w:after="120"/>
            </w:pPr>
            <w:r w:rsidRPr="00215BB8">
              <w:rPr>
                <w:i/>
                <w:iCs/>
              </w:rPr>
              <w:t xml:space="preserve">Confirm that any generic risk factors are grouped together at the end of the risk factors section under the caption </w:t>
            </w:r>
            <w:r>
              <w:rPr>
                <w:i/>
                <w:iCs/>
              </w:rPr>
              <w:t>“</w:t>
            </w:r>
            <w:r w:rsidRPr="00215BB8">
              <w:rPr>
                <w:i/>
                <w:iCs/>
              </w:rPr>
              <w:t>General Risk Factors.</w:t>
            </w:r>
            <w:r>
              <w:rPr>
                <w:i/>
                <w:iCs/>
              </w:rPr>
              <w:t>”</w:t>
            </w:r>
            <w:r w:rsidRPr="00215BB8">
              <w:rPr>
                <w:i/>
                <w:iCs/>
              </w:rPr>
              <w:t xml:space="preserve">  </w:t>
            </w:r>
          </w:p>
        </w:tc>
        <w:tc>
          <w:tcPr>
            <w:tcW w:w="925" w:type="pct"/>
            <w:tcBorders>
              <w:top w:val="single" w:sz="4" w:space="0" w:color="auto"/>
            </w:tcBorders>
            <w:shd w:val="clear" w:color="auto" w:fill="auto"/>
          </w:tcPr>
          <w:p w14:paraId="0FA2C68F" w14:textId="77777777" w:rsidR="00771086" w:rsidRPr="00DB5740" w:rsidRDefault="005B5528" w:rsidP="00771086">
            <w:pPr>
              <w:autoSpaceDE w:val="0"/>
              <w:autoSpaceDN w:val="0"/>
              <w:adjustRightInd w:val="0"/>
              <w:spacing w:after="120"/>
            </w:pPr>
            <w:r w:rsidRPr="00DB5740">
              <w:t xml:space="preserve">The exact wording of the caption for the </w:t>
            </w:r>
            <w:r>
              <w:t>“</w:t>
            </w:r>
            <w:r w:rsidRPr="00DB5740">
              <w:t>General Risk Factors</w:t>
            </w:r>
            <w:r>
              <w:t>”</w:t>
            </w:r>
            <w:r w:rsidRPr="00DB5740">
              <w:t xml:space="preserve"> section is required by Item 105.</w:t>
            </w:r>
          </w:p>
        </w:tc>
        <w:tc>
          <w:tcPr>
            <w:tcW w:w="585" w:type="pct"/>
            <w:tcBorders>
              <w:top w:val="single" w:sz="4" w:space="0" w:color="auto"/>
              <w:right w:val="single" w:sz="4" w:space="0" w:color="auto"/>
            </w:tcBorders>
            <w:shd w:val="clear" w:color="auto" w:fill="auto"/>
          </w:tcPr>
          <w:p w14:paraId="72A815CB" w14:textId="77777777" w:rsidR="00771086" w:rsidRPr="00DB5740" w:rsidRDefault="00771086" w:rsidP="00771086">
            <w:pPr>
              <w:autoSpaceDE w:val="0"/>
              <w:autoSpaceDN w:val="0"/>
              <w:adjustRightInd w:val="0"/>
              <w:rPr>
                <w:highlight w:val="yellow"/>
              </w:rPr>
            </w:pPr>
          </w:p>
        </w:tc>
        <w:tc>
          <w:tcPr>
            <w:tcW w:w="314" w:type="pct"/>
            <w:gridSpan w:val="2"/>
            <w:tcBorders>
              <w:top w:val="single" w:sz="4" w:space="0" w:color="auto"/>
              <w:right w:val="single" w:sz="4" w:space="0" w:color="auto"/>
            </w:tcBorders>
            <w:shd w:val="clear" w:color="auto" w:fill="auto"/>
            <w:vAlign w:val="center"/>
          </w:tcPr>
          <w:p w14:paraId="3558EF47"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2FE04B3D" w14:textId="77777777" w:rsidR="00771086" w:rsidRPr="00DB5740" w:rsidRDefault="005B5528" w:rsidP="00771086">
            <w:pPr>
              <w:autoSpaceDE w:val="0"/>
              <w:autoSpaceDN w:val="0"/>
              <w:adjustRightInd w:val="0"/>
              <w:jc w:val="center"/>
              <w:rPr>
                <w:highlight w:val="yellow"/>
              </w:rPr>
            </w:pPr>
            <w:r w:rsidRPr="00DB5740">
              <w:t>No</w:t>
            </w:r>
            <w:r w:rsidRPr="00DB5740">
              <w:t xml:space="preserve">  </w:t>
            </w:r>
            <w:r w:rsidRPr="00DB5740">
              <w:rPr>
                <w:rFonts w:ascii="Segoe UI Symbol" w:eastAsia="MS Gothic" w:hAnsi="Segoe UI Symbol" w:cs="Segoe UI Symbol"/>
              </w:rPr>
              <w:t>☐</w:t>
            </w:r>
          </w:p>
        </w:tc>
      </w:tr>
      <w:tr w:rsidR="00000000" w14:paraId="057FD4F0" w14:textId="77777777" w:rsidTr="00BF4090">
        <w:trPr>
          <w:cantSplit/>
          <w:jc w:val="center"/>
        </w:trPr>
        <w:tc>
          <w:tcPr>
            <w:tcW w:w="685" w:type="pct"/>
            <w:tcBorders>
              <w:top w:val="single" w:sz="4" w:space="0" w:color="auto"/>
              <w:left w:val="single" w:sz="4" w:space="0" w:color="auto"/>
            </w:tcBorders>
            <w:shd w:val="clear" w:color="auto" w:fill="auto"/>
          </w:tcPr>
          <w:p w14:paraId="578BADF1" w14:textId="77777777" w:rsidR="00771086" w:rsidRPr="00DB5740" w:rsidRDefault="00771086" w:rsidP="00771086">
            <w:pPr>
              <w:autoSpaceDE w:val="0"/>
              <w:autoSpaceDN w:val="0"/>
              <w:adjustRightInd w:val="0"/>
            </w:pPr>
          </w:p>
        </w:tc>
        <w:tc>
          <w:tcPr>
            <w:tcW w:w="584" w:type="pct"/>
            <w:tcBorders>
              <w:top w:val="single" w:sz="4" w:space="0" w:color="auto"/>
            </w:tcBorders>
            <w:shd w:val="clear" w:color="auto" w:fill="auto"/>
          </w:tcPr>
          <w:p w14:paraId="249CD02B" w14:textId="77777777" w:rsidR="00771086" w:rsidRPr="00DB5740" w:rsidRDefault="00771086" w:rsidP="00771086">
            <w:pPr>
              <w:autoSpaceDE w:val="0"/>
              <w:autoSpaceDN w:val="0"/>
              <w:adjustRightInd w:val="0"/>
              <w:jc w:val="center"/>
            </w:pPr>
          </w:p>
        </w:tc>
        <w:tc>
          <w:tcPr>
            <w:tcW w:w="1907" w:type="pct"/>
            <w:tcBorders>
              <w:top w:val="single" w:sz="4" w:space="0" w:color="auto"/>
            </w:tcBorders>
            <w:shd w:val="clear" w:color="auto" w:fill="auto"/>
          </w:tcPr>
          <w:p w14:paraId="2EEABE64" w14:textId="77777777" w:rsidR="00771086" w:rsidRPr="00DB5740" w:rsidRDefault="005B5528" w:rsidP="00771086">
            <w:pPr>
              <w:autoSpaceDE w:val="0"/>
              <w:autoSpaceDN w:val="0"/>
              <w:adjustRightInd w:val="0"/>
              <w:spacing w:after="120"/>
            </w:pPr>
            <w:r w:rsidRPr="00DB5740">
              <w:rPr>
                <w:b/>
                <w:bCs/>
              </w:rPr>
              <w:t>Hypothetical Risk Factors</w:t>
            </w:r>
          </w:p>
          <w:p w14:paraId="7E96C1B7" w14:textId="77777777" w:rsidR="00771086" w:rsidRPr="00215BB8" w:rsidRDefault="005B5528" w:rsidP="00771086">
            <w:pPr>
              <w:autoSpaceDE w:val="0"/>
              <w:autoSpaceDN w:val="0"/>
              <w:adjustRightInd w:val="0"/>
              <w:spacing w:after="120"/>
              <w:rPr>
                <w:i/>
                <w:iCs/>
              </w:rPr>
            </w:pPr>
            <w:r w:rsidRPr="00215BB8">
              <w:rPr>
                <w:i/>
                <w:iCs/>
              </w:rPr>
              <w:t>Confirm that the risk factors do not disclose hypothetical risks if the risk has actually occurred.</w:t>
            </w:r>
          </w:p>
        </w:tc>
        <w:tc>
          <w:tcPr>
            <w:tcW w:w="925" w:type="pct"/>
            <w:tcBorders>
              <w:top w:val="single" w:sz="4" w:space="0" w:color="auto"/>
            </w:tcBorders>
            <w:shd w:val="clear" w:color="auto" w:fill="auto"/>
          </w:tcPr>
          <w:p w14:paraId="78927CF1" w14:textId="77777777" w:rsidR="00771086" w:rsidRPr="00DB5740" w:rsidRDefault="005B5528" w:rsidP="00771086">
            <w:pPr>
              <w:autoSpaceDE w:val="0"/>
              <w:autoSpaceDN w:val="0"/>
              <w:adjustRightInd w:val="0"/>
              <w:spacing w:after="120"/>
            </w:pPr>
            <w:r w:rsidRPr="00DB5740">
              <w:t>Example: The SEC imposed a $30 million penalty on a company, in part b</w:t>
            </w:r>
            <w:r>
              <w:t>e</w:t>
            </w:r>
            <w:r w:rsidRPr="00DB5740">
              <w:t>cause the SEC alleged</w:t>
            </w:r>
            <w:r>
              <w:t xml:space="preserve"> </w:t>
            </w:r>
            <w:r w:rsidRPr="00DB5740">
              <w:t>that the company</w:t>
            </w:r>
            <w:r>
              <w:t>’</w:t>
            </w:r>
            <w:r w:rsidRPr="00DB5740">
              <w:t>s risk factor</w:t>
            </w:r>
            <w:r w:rsidRPr="00DB5740">
              <w:t xml:space="preserve"> disclosure tha</w:t>
            </w:r>
            <w:r>
              <w:t>t</w:t>
            </w:r>
            <w:r w:rsidRPr="00DB5740">
              <w:t xml:space="preserve"> a governmental auth</w:t>
            </w:r>
            <w:r>
              <w:t>o</w:t>
            </w:r>
            <w:r w:rsidRPr="00DB5740">
              <w:t xml:space="preserve">rity </w:t>
            </w:r>
            <w:r w:rsidRPr="00DB5740">
              <w:rPr>
                <w:bCs/>
                <w:i/>
                <w:iCs/>
              </w:rPr>
              <w:t>may</w:t>
            </w:r>
            <w:r w:rsidRPr="00DB5740">
              <w:t xml:space="preserve"> take a position contrary to the company</w:t>
            </w:r>
            <w:r>
              <w:t>’</w:t>
            </w:r>
            <w:r w:rsidRPr="00DB5740">
              <w:t xml:space="preserve">s position on prior Medicaid submissions were misleading because a governmental authority had </w:t>
            </w:r>
            <w:r w:rsidRPr="00DB5740">
              <w:rPr>
                <w:bCs/>
                <w:i/>
                <w:iCs/>
              </w:rPr>
              <w:t>already</w:t>
            </w:r>
            <w:r w:rsidRPr="00DB5740">
              <w:t xml:space="preserve"> informed the company that its submissions were incorrectly classifie</w:t>
            </w:r>
            <w:r w:rsidRPr="00DB5740">
              <w:t xml:space="preserve">d.  See the SEC </w:t>
            </w:r>
            <w:hyperlink r:id="rId76" w:history="1">
              <w:r w:rsidRPr="00DB5740">
                <w:rPr>
                  <w:rStyle w:val="Hyperlink"/>
                </w:rPr>
                <w:t>press rele</w:t>
              </w:r>
              <w:bookmarkStart w:id="48" w:name="_Hlt94000583"/>
              <w:bookmarkStart w:id="49" w:name="_Hlt94000584"/>
              <w:r w:rsidRPr="00DB5740">
                <w:rPr>
                  <w:rStyle w:val="Hyperlink"/>
                </w:rPr>
                <w:t>a</w:t>
              </w:r>
              <w:bookmarkEnd w:id="48"/>
              <w:bookmarkEnd w:id="49"/>
              <w:r w:rsidRPr="00DB5740">
                <w:rPr>
                  <w:rStyle w:val="Hyperlink"/>
                </w:rPr>
                <w:t>se</w:t>
              </w:r>
            </w:hyperlink>
            <w:r w:rsidRPr="00DB5740">
              <w:t xml:space="preserve"> and </w:t>
            </w:r>
            <w:hyperlink r:id="rId77" w:history="1">
              <w:r w:rsidRPr="00DB5740">
                <w:rPr>
                  <w:rStyle w:val="Hyperlink"/>
                </w:rPr>
                <w:t>SEC c</w:t>
              </w:r>
              <w:bookmarkStart w:id="50" w:name="_Hlt94000590"/>
              <w:bookmarkStart w:id="51" w:name="_Hlt94000591"/>
              <w:r w:rsidRPr="00DB5740">
                <w:rPr>
                  <w:rStyle w:val="Hyperlink"/>
                </w:rPr>
                <w:t>o</w:t>
              </w:r>
              <w:bookmarkEnd w:id="50"/>
              <w:bookmarkEnd w:id="51"/>
              <w:r w:rsidRPr="00DB5740">
                <w:rPr>
                  <w:rStyle w:val="Hyperlink"/>
                </w:rPr>
                <w:t>mplaint</w:t>
              </w:r>
            </w:hyperlink>
            <w:r w:rsidRPr="00DB5740">
              <w:t>.</w:t>
            </w:r>
          </w:p>
        </w:tc>
        <w:tc>
          <w:tcPr>
            <w:tcW w:w="585" w:type="pct"/>
            <w:tcBorders>
              <w:top w:val="single" w:sz="4" w:space="0" w:color="auto"/>
              <w:right w:val="single" w:sz="4" w:space="0" w:color="auto"/>
            </w:tcBorders>
            <w:shd w:val="clear" w:color="auto" w:fill="auto"/>
          </w:tcPr>
          <w:p w14:paraId="26D0264F" w14:textId="77777777" w:rsidR="00771086" w:rsidRPr="00DB5740" w:rsidRDefault="00771086" w:rsidP="00771086">
            <w:pPr>
              <w:autoSpaceDE w:val="0"/>
              <w:autoSpaceDN w:val="0"/>
              <w:adjustRightInd w:val="0"/>
              <w:rPr>
                <w:highlight w:val="yellow"/>
              </w:rPr>
            </w:pPr>
          </w:p>
        </w:tc>
        <w:tc>
          <w:tcPr>
            <w:tcW w:w="314" w:type="pct"/>
            <w:gridSpan w:val="2"/>
            <w:tcBorders>
              <w:top w:val="single" w:sz="4" w:space="0" w:color="auto"/>
              <w:right w:val="single" w:sz="4" w:space="0" w:color="auto"/>
            </w:tcBorders>
            <w:shd w:val="clear" w:color="auto" w:fill="auto"/>
            <w:vAlign w:val="center"/>
          </w:tcPr>
          <w:p w14:paraId="1A5A68D0"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1973AB50" w14:textId="77777777" w:rsidR="00771086" w:rsidRPr="00DB5740" w:rsidRDefault="005B5528" w:rsidP="00771086">
            <w:pPr>
              <w:autoSpaceDE w:val="0"/>
              <w:autoSpaceDN w:val="0"/>
              <w:adjustRightInd w:val="0"/>
              <w:jc w:val="center"/>
              <w:rPr>
                <w:highlight w:val="yellow"/>
              </w:rPr>
            </w:pPr>
            <w:r w:rsidRPr="00DB5740">
              <w:t xml:space="preserve">No  </w:t>
            </w:r>
            <w:r w:rsidRPr="00DB5740">
              <w:rPr>
                <w:rFonts w:ascii="Segoe UI Symbol" w:eastAsia="MS Gothic" w:hAnsi="Segoe UI Symbol" w:cs="Segoe UI Symbol"/>
              </w:rPr>
              <w:t>☐</w:t>
            </w:r>
          </w:p>
        </w:tc>
      </w:tr>
      <w:tr w:rsidR="00000000" w14:paraId="55E37E01" w14:textId="77777777" w:rsidTr="00BF4090">
        <w:trPr>
          <w:cantSplit/>
          <w:jc w:val="center"/>
        </w:trPr>
        <w:tc>
          <w:tcPr>
            <w:tcW w:w="685" w:type="pct"/>
            <w:tcBorders>
              <w:top w:val="single" w:sz="4" w:space="0" w:color="auto"/>
              <w:left w:val="single" w:sz="4" w:space="0" w:color="auto"/>
            </w:tcBorders>
            <w:shd w:val="clear" w:color="auto" w:fill="FFFFFF"/>
          </w:tcPr>
          <w:p w14:paraId="1418A97F" w14:textId="77777777" w:rsidR="00771086" w:rsidRPr="00DB5740" w:rsidRDefault="00771086" w:rsidP="00771086">
            <w:pPr>
              <w:autoSpaceDE w:val="0"/>
              <w:autoSpaceDN w:val="0"/>
              <w:adjustRightInd w:val="0"/>
            </w:pPr>
          </w:p>
        </w:tc>
        <w:tc>
          <w:tcPr>
            <w:tcW w:w="584" w:type="pct"/>
            <w:tcBorders>
              <w:top w:val="single" w:sz="4" w:space="0" w:color="auto"/>
            </w:tcBorders>
            <w:shd w:val="clear" w:color="auto" w:fill="FFFFFF"/>
          </w:tcPr>
          <w:p w14:paraId="112B2A5B" w14:textId="77777777" w:rsidR="00771086" w:rsidRPr="00DB5740" w:rsidRDefault="00771086" w:rsidP="00771086">
            <w:pPr>
              <w:autoSpaceDE w:val="0"/>
              <w:autoSpaceDN w:val="0"/>
              <w:adjustRightInd w:val="0"/>
              <w:jc w:val="center"/>
            </w:pPr>
          </w:p>
        </w:tc>
        <w:tc>
          <w:tcPr>
            <w:tcW w:w="1907" w:type="pct"/>
            <w:tcBorders>
              <w:top w:val="single" w:sz="4" w:space="0" w:color="auto"/>
            </w:tcBorders>
            <w:shd w:val="clear" w:color="auto" w:fill="FFFFFF"/>
          </w:tcPr>
          <w:p w14:paraId="4004A7E5" w14:textId="77777777" w:rsidR="00771086" w:rsidRPr="00DB5740" w:rsidRDefault="005B5528" w:rsidP="00771086">
            <w:pPr>
              <w:pStyle w:val="BodyText"/>
              <w:spacing w:after="120"/>
              <w:rPr>
                <w:bCs/>
              </w:rPr>
            </w:pPr>
            <w:r w:rsidRPr="00DB5740">
              <w:rPr>
                <w:b/>
              </w:rPr>
              <w:t>Pandemic/Covid 19</w:t>
            </w:r>
          </w:p>
          <w:p w14:paraId="0DA9D6EF" w14:textId="77777777" w:rsidR="00771086" w:rsidRPr="00DB5740" w:rsidRDefault="005B5528" w:rsidP="00771086">
            <w:pPr>
              <w:pStyle w:val="BodyText"/>
              <w:spacing w:after="120"/>
              <w:rPr>
                <w:bCs/>
              </w:rPr>
            </w:pPr>
            <w:r w:rsidRPr="00DB5740">
              <w:rPr>
                <w:bCs/>
              </w:rPr>
              <w:t>As summarized above befo</w:t>
            </w:r>
            <w:r w:rsidRPr="00DB5740">
              <w:rPr>
                <w:bCs/>
              </w:rPr>
              <w:t xml:space="preserve">re </w:t>
            </w:r>
            <w:r>
              <w:rPr>
                <w:bCs/>
              </w:rPr>
              <w:t xml:space="preserve">the </w:t>
            </w:r>
            <w:r w:rsidRPr="00DB5740">
              <w:rPr>
                <w:bCs/>
              </w:rPr>
              <w:t xml:space="preserve">discussion of Part I disclosure, the pandemic has had </w:t>
            </w:r>
            <w:r>
              <w:rPr>
                <w:bCs/>
              </w:rPr>
              <w:t xml:space="preserve">during 2022, </w:t>
            </w:r>
            <w:r w:rsidRPr="00DB5740">
              <w:rPr>
                <w:bCs/>
              </w:rPr>
              <w:t xml:space="preserve">and </w:t>
            </w:r>
            <w:r>
              <w:rPr>
                <w:bCs/>
              </w:rPr>
              <w:t xml:space="preserve">for companies in some sectors may continue </w:t>
            </w:r>
            <w:r w:rsidRPr="00DB5740">
              <w:rPr>
                <w:bCs/>
              </w:rPr>
              <w:t>to have</w:t>
            </w:r>
            <w:r>
              <w:rPr>
                <w:bCs/>
              </w:rPr>
              <w:t>,</w:t>
            </w:r>
            <w:r w:rsidRPr="00DB5740">
              <w:rPr>
                <w:bCs/>
              </w:rPr>
              <w:t xml:space="preserve"> a variety of impacts.  These impacts may affect disclosure in Business, Risk Factors, the forward-looking statement disclaimer</w:t>
            </w:r>
            <w:r w:rsidRPr="00DB5740">
              <w:rPr>
                <w:bCs/>
              </w:rPr>
              <w:t>, MD&amp;A, the footnotes to the financial statements and other disclosures.</w:t>
            </w:r>
          </w:p>
          <w:p w14:paraId="47A74107" w14:textId="77777777" w:rsidR="00771086" w:rsidRPr="00DB5740" w:rsidRDefault="005B5528" w:rsidP="00771086">
            <w:pPr>
              <w:pStyle w:val="BodyText"/>
              <w:spacing w:after="120"/>
              <w:rPr>
                <w:bCs/>
              </w:rPr>
            </w:pPr>
            <w:r w:rsidRPr="00DB5740">
              <w:rPr>
                <w:bCs/>
              </w:rPr>
              <w:t xml:space="preserve">At a minimum, any disclosures in any section of the Form </w:t>
            </w:r>
            <w:r>
              <w:rPr>
                <w:bCs/>
              </w:rPr>
              <w:t>10</w:t>
            </w:r>
            <w:r>
              <w:rPr>
                <w:bCs/>
              </w:rPr>
              <w:noBreakHyphen/>
              <w:t>K</w:t>
            </w:r>
            <w:r w:rsidRPr="00DB5740">
              <w:rPr>
                <w:bCs/>
              </w:rPr>
              <w:t xml:space="preserve"> should be reviewed carefully to determine whether updates are necessary or advisable.</w:t>
            </w:r>
            <w:r>
              <w:rPr>
                <w:bCs/>
              </w:rPr>
              <w:t xml:space="preserve">  In this regard, some conditions an</w:t>
            </w:r>
            <w:r>
              <w:rPr>
                <w:bCs/>
              </w:rPr>
              <w:t xml:space="preserve">d impacts disclosed in 2020 and 2021 filings may no longer be present and should be revised or deleted. </w:t>
            </w:r>
          </w:p>
          <w:p w14:paraId="767677D7" w14:textId="77777777" w:rsidR="00771086" w:rsidRPr="00DB5740" w:rsidRDefault="005B5528" w:rsidP="00771086">
            <w:pPr>
              <w:pStyle w:val="BodyText"/>
              <w:spacing w:after="120"/>
              <w:rPr>
                <w:bCs/>
              </w:rPr>
            </w:pPr>
            <w:r w:rsidRPr="00DB5740">
              <w:rPr>
                <w:bCs/>
              </w:rPr>
              <w:t xml:space="preserve">The SEC has issued guidance and various statements concerning disclosure impacts of the pandemic, several of which are discussed in the Goodwin alerts </w:t>
            </w:r>
            <w:r w:rsidRPr="00DB5740">
              <w:rPr>
                <w:bCs/>
              </w:rPr>
              <w:t>listed to the right.</w:t>
            </w:r>
          </w:p>
          <w:p w14:paraId="39E06C31" w14:textId="77777777" w:rsidR="00771086" w:rsidRDefault="005B5528" w:rsidP="00771086">
            <w:pPr>
              <w:pStyle w:val="BodyText"/>
              <w:spacing w:after="120"/>
              <w:rPr>
                <w:bCs/>
              </w:rPr>
            </w:pPr>
            <w:r w:rsidRPr="00DB5740">
              <w:rPr>
                <w:bCs/>
              </w:rPr>
              <w:t xml:space="preserve">Many of these date from earlier in the pandemic, but the disclosure advice </w:t>
            </w:r>
            <w:r>
              <w:rPr>
                <w:bCs/>
              </w:rPr>
              <w:t>may still be relevant for many companies for their 2022 Form 10-K report</w:t>
            </w:r>
            <w:r w:rsidRPr="00DB5740">
              <w:rPr>
                <w:bCs/>
              </w:rPr>
              <w:t>.</w:t>
            </w:r>
          </w:p>
          <w:p w14:paraId="71A35BA8" w14:textId="77777777" w:rsidR="00771086" w:rsidRPr="00DB5740" w:rsidRDefault="005B5528" w:rsidP="00771086">
            <w:pPr>
              <w:pStyle w:val="BodyText"/>
              <w:spacing w:after="120"/>
              <w:jc w:val="center"/>
              <w:rPr>
                <w:bCs/>
              </w:rPr>
            </w:pPr>
            <w:r>
              <w:rPr>
                <w:bCs/>
              </w:rPr>
              <w:t>- - -</w:t>
            </w:r>
          </w:p>
          <w:p w14:paraId="23001D4A" w14:textId="77777777" w:rsidR="00771086" w:rsidRPr="00215BB8" w:rsidRDefault="005B5528" w:rsidP="00771086">
            <w:pPr>
              <w:pStyle w:val="BodyText"/>
              <w:spacing w:after="120"/>
              <w:rPr>
                <w:bCs/>
                <w:i/>
                <w:iCs/>
              </w:rPr>
            </w:pPr>
            <w:r w:rsidRPr="00215BB8">
              <w:rPr>
                <w:bCs/>
                <w:i/>
                <w:iCs/>
              </w:rPr>
              <w:t>Companies should review all pandemic-related disclosures and confirm whether upd</w:t>
            </w:r>
            <w:r w:rsidRPr="00215BB8">
              <w:rPr>
                <w:bCs/>
                <w:i/>
                <w:iCs/>
              </w:rPr>
              <w:t>ates, which could potentially include deletions of prior disclosure, are necessary or advisable.</w:t>
            </w:r>
          </w:p>
        </w:tc>
        <w:tc>
          <w:tcPr>
            <w:tcW w:w="925" w:type="pct"/>
            <w:tcBorders>
              <w:top w:val="single" w:sz="4" w:space="0" w:color="auto"/>
            </w:tcBorders>
            <w:shd w:val="clear" w:color="auto" w:fill="FFFFFF"/>
          </w:tcPr>
          <w:p w14:paraId="56707107" w14:textId="77777777" w:rsidR="00771086" w:rsidRPr="005768BB" w:rsidRDefault="005B5528" w:rsidP="00771086">
            <w:pPr>
              <w:pStyle w:val="BodyText"/>
              <w:spacing w:after="120"/>
              <w:rPr>
                <w:sz w:val="20"/>
              </w:rPr>
            </w:pPr>
            <w:hyperlink r:id="rId78" w:history="1">
              <w:r w:rsidRPr="005768BB">
                <w:rPr>
                  <w:rStyle w:val="Hyperlink"/>
                  <w:sz w:val="20"/>
                </w:rPr>
                <w:t>Coronavirus (COVID-19)</w:t>
              </w:r>
            </w:hyperlink>
            <w:r>
              <w:rPr>
                <w:sz w:val="20"/>
              </w:rPr>
              <w:t xml:space="preserve"> (</w:t>
            </w:r>
            <w:r w:rsidRPr="005768BB">
              <w:rPr>
                <w:sz w:val="20"/>
              </w:rPr>
              <w:t>CF Disclosure Guidance: Topic No. 9, March 25, 2020)</w:t>
            </w:r>
          </w:p>
          <w:p w14:paraId="32AD0EE2" w14:textId="77777777" w:rsidR="00771086" w:rsidRPr="005768BB" w:rsidRDefault="005B5528" w:rsidP="00771086">
            <w:pPr>
              <w:pStyle w:val="BodyText"/>
              <w:spacing w:after="120"/>
              <w:rPr>
                <w:sz w:val="20"/>
              </w:rPr>
            </w:pPr>
            <w:hyperlink r:id="rId79" w:history="1">
              <w:r w:rsidRPr="005768BB">
                <w:rPr>
                  <w:rStyle w:val="Hyperlink"/>
                  <w:sz w:val="20"/>
                </w:rPr>
                <w:t>Coronavirus (COVID-19) — Disclosure Considerations Regarding Operations, Liquidity, and Capital Resources</w:t>
              </w:r>
            </w:hyperlink>
            <w:r w:rsidRPr="005768BB">
              <w:rPr>
                <w:sz w:val="20"/>
              </w:rPr>
              <w:t xml:space="preserve"> (CF Disclosure Guidance: Topic No. 9A, June 23, 2020)</w:t>
            </w:r>
          </w:p>
          <w:p w14:paraId="3420B8D0" w14:textId="77777777" w:rsidR="00771086" w:rsidRPr="005768BB" w:rsidRDefault="005B5528" w:rsidP="00771086">
            <w:pPr>
              <w:pStyle w:val="BodyText"/>
              <w:spacing w:after="120"/>
              <w:rPr>
                <w:sz w:val="20"/>
              </w:rPr>
            </w:pPr>
            <w:hyperlink r:id="rId80" w:history="1">
              <w:r w:rsidRPr="005768BB">
                <w:rPr>
                  <w:rStyle w:val="Hyperlink"/>
                  <w:sz w:val="20"/>
                </w:rPr>
                <w:t>SEC Issues Additional Covid-19 Disclosure Guidance</w:t>
              </w:r>
            </w:hyperlink>
            <w:r w:rsidRPr="005768BB">
              <w:rPr>
                <w:sz w:val="20"/>
              </w:rPr>
              <w:t xml:space="preserve"> (Goodwin alert)</w:t>
            </w:r>
          </w:p>
          <w:p w14:paraId="665ECCB1" w14:textId="77777777" w:rsidR="00771086" w:rsidRPr="005768BB" w:rsidRDefault="005B5528" w:rsidP="00771086">
            <w:pPr>
              <w:pStyle w:val="BodyText"/>
              <w:spacing w:after="120"/>
              <w:rPr>
                <w:sz w:val="20"/>
              </w:rPr>
            </w:pPr>
            <w:hyperlink r:id="rId81" w:history="1">
              <w:r w:rsidRPr="005768BB">
                <w:rPr>
                  <w:rStyle w:val="Hyperlink"/>
                  <w:sz w:val="20"/>
                </w:rPr>
                <w:t>U.S. SEC C</w:t>
              </w:r>
              <w:r w:rsidRPr="005768BB">
                <w:rPr>
                  <w:rStyle w:val="Hyperlink"/>
                  <w:sz w:val="20"/>
                </w:rPr>
                <w:t>ovid-19 Statements Highlight The Importance of First Quarter Disclosures – A Review and Practical Guide</w:t>
              </w:r>
            </w:hyperlink>
            <w:r w:rsidRPr="005768BB">
              <w:rPr>
                <w:sz w:val="20"/>
              </w:rPr>
              <w:t xml:space="preserve"> (Goodwin alert)</w:t>
            </w:r>
          </w:p>
          <w:p w14:paraId="5DDF86EE" w14:textId="77777777" w:rsidR="00771086" w:rsidRDefault="005B5528" w:rsidP="00771086">
            <w:pPr>
              <w:pStyle w:val="BodyText"/>
              <w:spacing w:after="120"/>
              <w:rPr>
                <w:sz w:val="20"/>
              </w:rPr>
            </w:pPr>
            <w:hyperlink r:id="rId82" w:history="1">
              <w:r w:rsidRPr="005768BB">
                <w:rPr>
                  <w:rStyle w:val="Hyperlink"/>
                  <w:sz w:val="20"/>
                </w:rPr>
                <w:t>SEC Extends Covid-19 Relief for Filing</w:t>
              </w:r>
              <w:r w:rsidRPr="005768BB">
                <w:rPr>
                  <w:rStyle w:val="Hyperlink"/>
                  <w:sz w:val="20"/>
                </w:rPr>
                <w:t xml:space="preserve"> and Proxy Statement Requirements and Issues Updated Disclosure Guidance</w:t>
              </w:r>
            </w:hyperlink>
            <w:r w:rsidRPr="005768BB">
              <w:rPr>
                <w:sz w:val="20"/>
              </w:rPr>
              <w:t xml:space="preserve"> (Goodwin alert</w:t>
            </w:r>
            <w:r>
              <w:rPr>
                <w:sz w:val="20"/>
              </w:rPr>
              <w:t>)</w:t>
            </w:r>
          </w:p>
          <w:p w14:paraId="63483020" w14:textId="77777777" w:rsidR="00771086" w:rsidRPr="005768BB" w:rsidRDefault="005B5528" w:rsidP="00771086">
            <w:pPr>
              <w:pStyle w:val="BodyText"/>
              <w:spacing w:after="120"/>
              <w:rPr>
                <w:sz w:val="20"/>
              </w:rPr>
            </w:pPr>
            <w:hyperlink r:id="rId83" w:history="1">
              <w:r w:rsidRPr="005768BB">
                <w:rPr>
                  <w:rStyle w:val="Hyperlink"/>
                  <w:sz w:val="20"/>
                </w:rPr>
                <w:t>The Importance of Disclosure – For Investors, Markets and Our Fight Against COVID-1</w:t>
              </w:r>
              <w:r w:rsidRPr="005768BB">
                <w:rPr>
                  <w:rStyle w:val="Hyperlink"/>
                  <w:sz w:val="20"/>
                </w:rPr>
                <w:t>9</w:t>
              </w:r>
            </w:hyperlink>
            <w:r w:rsidRPr="005768BB">
              <w:rPr>
                <w:sz w:val="20"/>
              </w:rPr>
              <w:t xml:space="preserve"> (Statement by SEC Chair Clayton and </w:t>
            </w:r>
            <w:r>
              <w:rPr>
                <w:sz w:val="20"/>
              </w:rPr>
              <w:t xml:space="preserve">CF </w:t>
            </w:r>
            <w:r w:rsidRPr="005768BB">
              <w:rPr>
                <w:sz w:val="20"/>
              </w:rPr>
              <w:t>Director Hinman)</w:t>
            </w:r>
          </w:p>
          <w:p w14:paraId="636B2965" w14:textId="77777777" w:rsidR="00771086" w:rsidRPr="005768BB" w:rsidRDefault="005B5528" w:rsidP="00771086">
            <w:pPr>
              <w:pStyle w:val="BodyText"/>
              <w:spacing w:after="120"/>
              <w:rPr>
                <w:sz w:val="20"/>
              </w:rPr>
            </w:pPr>
            <w:hyperlink r:id="rId84" w:history="1">
              <w:r w:rsidRPr="005768BB">
                <w:rPr>
                  <w:rStyle w:val="Hyperlink"/>
                  <w:sz w:val="20"/>
                </w:rPr>
                <w:t>Statement from Stephanie Avakian and Steven Peikin, Co-Directors of the SEC</w:t>
              </w:r>
              <w:r>
                <w:rPr>
                  <w:rStyle w:val="Hyperlink"/>
                  <w:sz w:val="20"/>
                </w:rPr>
                <w:t>’</w:t>
              </w:r>
              <w:r w:rsidRPr="005768BB">
                <w:rPr>
                  <w:rStyle w:val="Hyperlink"/>
                  <w:sz w:val="20"/>
                </w:rPr>
                <w:t xml:space="preserve">s Division </w:t>
              </w:r>
              <w:r w:rsidRPr="005768BB">
                <w:rPr>
                  <w:rStyle w:val="Hyperlink"/>
                  <w:sz w:val="20"/>
                </w:rPr>
                <w:t>of Enforcement, Regarding Market Integrity</w:t>
              </w:r>
            </w:hyperlink>
          </w:p>
        </w:tc>
        <w:tc>
          <w:tcPr>
            <w:tcW w:w="585" w:type="pct"/>
            <w:tcBorders>
              <w:top w:val="single" w:sz="4" w:space="0" w:color="auto"/>
              <w:right w:val="single" w:sz="4" w:space="0" w:color="auto"/>
            </w:tcBorders>
            <w:shd w:val="clear" w:color="auto" w:fill="FFFFFF"/>
          </w:tcPr>
          <w:p w14:paraId="211FE581" w14:textId="77777777" w:rsidR="00771086" w:rsidRPr="00DB5740" w:rsidRDefault="00771086" w:rsidP="00771086">
            <w:pPr>
              <w:autoSpaceDE w:val="0"/>
              <w:autoSpaceDN w:val="0"/>
              <w:adjustRightInd w:val="0"/>
              <w:rPr>
                <w:highlight w:val="yellow"/>
              </w:rPr>
            </w:pPr>
          </w:p>
        </w:tc>
        <w:tc>
          <w:tcPr>
            <w:tcW w:w="314" w:type="pct"/>
            <w:gridSpan w:val="2"/>
            <w:tcBorders>
              <w:top w:val="single" w:sz="4" w:space="0" w:color="auto"/>
              <w:right w:val="single" w:sz="4" w:space="0" w:color="auto"/>
            </w:tcBorders>
            <w:shd w:val="clear" w:color="auto" w:fill="FFFFFF"/>
            <w:vAlign w:val="center"/>
          </w:tcPr>
          <w:p w14:paraId="5FB44939"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2269F4DD" w14:textId="77777777" w:rsidR="00771086" w:rsidRPr="00DB5740" w:rsidRDefault="005B5528" w:rsidP="00771086">
            <w:pPr>
              <w:autoSpaceDE w:val="0"/>
              <w:autoSpaceDN w:val="0"/>
              <w:adjustRightInd w:val="0"/>
              <w:jc w:val="center"/>
              <w:rPr>
                <w:highlight w:val="yellow"/>
              </w:rPr>
            </w:pPr>
            <w:r w:rsidRPr="00DB5740">
              <w:t xml:space="preserve">No  </w:t>
            </w:r>
            <w:r w:rsidRPr="00DB5740">
              <w:rPr>
                <w:rFonts w:ascii="Segoe UI Symbol" w:eastAsia="MS Gothic" w:hAnsi="Segoe UI Symbol" w:cs="Segoe UI Symbol"/>
              </w:rPr>
              <w:t>☐</w:t>
            </w:r>
          </w:p>
        </w:tc>
      </w:tr>
      <w:tr w:rsidR="00000000" w14:paraId="7CCCFC52" w14:textId="77777777" w:rsidTr="00BF4090">
        <w:trPr>
          <w:cantSplit/>
          <w:jc w:val="center"/>
        </w:trPr>
        <w:tc>
          <w:tcPr>
            <w:tcW w:w="685" w:type="pct"/>
            <w:tcBorders>
              <w:top w:val="single" w:sz="4" w:space="0" w:color="auto"/>
              <w:left w:val="single" w:sz="4" w:space="0" w:color="auto"/>
            </w:tcBorders>
            <w:shd w:val="clear" w:color="auto" w:fill="auto"/>
          </w:tcPr>
          <w:p w14:paraId="1365BD4A" w14:textId="77777777" w:rsidR="00771086" w:rsidRPr="00DB5740" w:rsidRDefault="00771086" w:rsidP="00771086">
            <w:pPr>
              <w:autoSpaceDE w:val="0"/>
              <w:autoSpaceDN w:val="0"/>
              <w:adjustRightInd w:val="0"/>
            </w:pPr>
          </w:p>
        </w:tc>
        <w:tc>
          <w:tcPr>
            <w:tcW w:w="584" w:type="pct"/>
            <w:tcBorders>
              <w:top w:val="single" w:sz="4" w:space="0" w:color="auto"/>
            </w:tcBorders>
            <w:shd w:val="clear" w:color="auto" w:fill="auto"/>
          </w:tcPr>
          <w:p w14:paraId="411B79F4" w14:textId="77777777" w:rsidR="00771086" w:rsidRPr="00DB5740" w:rsidRDefault="00771086" w:rsidP="00771086">
            <w:pPr>
              <w:autoSpaceDE w:val="0"/>
              <w:autoSpaceDN w:val="0"/>
              <w:adjustRightInd w:val="0"/>
              <w:jc w:val="center"/>
            </w:pPr>
          </w:p>
        </w:tc>
        <w:tc>
          <w:tcPr>
            <w:tcW w:w="1907" w:type="pct"/>
            <w:tcBorders>
              <w:top w:val="single" w:sz="4" w:space="0" w:color="auto"/>
            </w:tcBorders>
            <w:shd w:val="clear" w:color="auto" w:fill="auto"/>
          </w:tcPr>
          <w:p w14:paraId="562256B6" w14:textId="77777777" w:rsidR="00771086" w:rsidRPr="00DB5740" w:rsidRDefault="005B5528" w:rsidP="00771086">
            <w:pPr>
              <w:pStyle w:val="BodyText"/>
              <w:spacing w:after="120"/>
              <w:rPr>
                <w:b/>
              </w:rPr>
            </w:pPr>
            <w:r w:rsidRPr="00DB5740">
              <w:rPr>
                <w:b/>
              </w:rPr>
              <w:t>Intellectual Property and Technology Risks Associated with International Business Operations</w:t>
            </w:r>
          </w:p>
          <w:p w14:paraId="7E65727C" w14:textId="77777777" w:rsidR="00771086" w:rsidRPr="00DB5740" w:rsidRDefault="005B5528" w:rsidP="00771086">
            <w:pPr>
              <w:pStyle w:val="BodyText"/>
              <w:spacing w:after="120"/>
            </w:pPr>
            <w:r w:rsidRPr="00DB5740">
              <w:t xml:space="preserve">In December 2019 the staff of the SEC Division of Corporation Finance published guidance on disclosure </w:t>
            </w:r>
            <w:r w:rsidRPr="00DB5740">
              <w:t xml:space="preserve">obligations that companies should consider with respect to intellectual property and technology risks that may occur in connection with international business operations.  </w:t>
            </w:r>
          </w:p>
          <w:p w14:paraId="14E5EE3E" w14:textId="77777777" w:rsidR="00771086" w:rsidRPr="00DB5740" w:rsidRDefault="005B5528" w:rsidP="00771086">
            <w:pPr>
              <w:autoSpaceDE w:val="0"/>
              <w:autoSpaceDN w:val="0"/>
              <w:adjustRightInd w:val="0"/>
              <w:spacing w:after="120"/>
            </w:pPr>
            <w:r w:rsidRPr="00DB5740">
              <w:t>The guidance covers a broad range of potential risks related to conducting business</w:t>
            </w:r>
            <w:r w:rsidRPr="00DB5740">
              <w:t xml:space="preserve"> in foreign jurisdictions; maintaining technology, data or intellectual property in foreign jurisdictions; </w:t>
            </w:r>
            <w:r>
              <w:t xml:space="preserve">and </w:t>
            </w:r>
            <w:r w:rsidRPr="00DB5740">
              <w:t>licensing or granting ownership rights to foreign governmental or private sector partners, among others.</w:t>
            </w:r>
          </w:p>
        </w:tc>
        <w:tc>
          <w:tcPr>
            <w:tcW w:w="925" w:type="pct"/>
            <w:tcBorders>
              <w:top w:val="single" w:sz="4" w:space="0" w:color="auto"/>
            </w:tcBorders>
            <w:shd w:val="clear" w:color="auto" w:fill="auto"/>
          </w:tcPr>
          <w:p w14:paraId="53F18947" w14:textId="77777777" w:rsidR="00771086" w:rsidRPr="00DB5740" w:rsidRDefault="005B5528" w:rsidP="00771086">
            <w:pPr>
              <w:pStyle w:val="BodyText"/>
              <w:spacing w:after="120"/>
            </w:pPr>
            <w:hyperlink r:id="rId85" w:history="1">
              <w:r w:rsidRPr="00DB5740">
                <w:rPr>
                  <w:rStyle w:val="Hyperlink"/>
                </w:rPr>
                <w:t>CF Disclosure Guidance Topic No. 8: Intellectual Property and Technology Risks Associated with International Business Operations</w:t>
              </w:r>
            </w:hyperlink>
          </w:p>
          <w:p w14:paraId="742C50F1" w14:textId="77777777" w:rsidR="00771086" w:rsidRPr="00DB5740" w:rsidRDefault="00771086" w:rsidP="00771086">
            <w:pPr>
              <w:autoSpaceDE w:val="0"/>
              <w:autoSpaceDN w:val="0"/>
              <w:adjustRightInd w:val="0"/>
              <w:spacing w:after="120"/>
            </w:pPr>
          </w:p>
        </w:tc>
        <w:tc>
          <w:tcPr>
            <w:tcW w:w="585" w:type="pct"/>
            <w:tcBorders>
              <w:top w:val="single" w:sz="4" w:space="0" w:color="auto"/>
              <w:right w:val="single" w:sz="4" w:space="0" w:color="auto"/>
            </w:tcBorders>
            <w:shd w:val="clear" w:color="auto" w:fill="auto"/>
          </w:tcPr>
          <w:p w14:paraId="632A19D2" w14:textId="77777777" w:rsidR="00771086" w:rsidRPr="00DB5740" w:rsidRDefault="00771086" w:rsidP="00771086">
            <w:pPr>
              <w:autoSpaceDE w:val="0"/>
              <w:autoSpaceDN w:val="0"/>
              <w:adjustRightInd w:val="0"/>
              <w:rPr>
                <w:highlight w:val="yellow"/>
              </w:rPr>
            </w:pPr>
          </w:p>
        </w:tc>
        <w:tc>
          <w:tcPr>
            <w:tcW w:w="314" w:type="pct"/>
            <w:gridSpan w:val="2"/>
            <w:tcBorders>
              <w:top w:val="single" w:sz="4" w:space="0" w:color="auto"/>
              <w:right w:val="single" w:sz="4" w:space="0" w:color="auto"/>
            </w:tcBorders>
            <w:shd w:val="clear" w:color="auto" w:fill="auto"/>
            <w:vAlign w:val="center"/>
          </w:tcPr>
          <w:p w14:paraId="612D7942"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2891CF5D" w14:textId="77777777" w:rsidR="00771086" w:rsidRPr="00DB5740" w:rsidRDefault="005B5528" w:rsidP="00771086">
            <w:pPr>
              <w:autoSpaceDE w:val="0"/>
              <w:autoSpaceDN w:val="0"/>
              <w:adjustRightInd w:val="0"/>
              <w:jc w:val="center"/>
              <w:rPr>
                <w:highlight w:val="yellow"/>
              </w:rPr>
            </w:pPr>
            <w:r w:rsidRPr="00DB5740">
              <w:t xml:space="preserve">No  </w:t>
            </w:r>
            <w:r w:rsidRPr="00DB5740">
              <w:rPr>
                <w:rFonts w:ascii="Segoe UI Symbol" w:eastAsia="MS Gothic" w:hAnsi="Segoe UI Symbol" w:cs="Segoe UI Symbol"/>
              </w:rPr>
              <w:t>☐</w:t>
            </w:r>
          </w:p>
        </w:tc>
      </w:tr>
      <w:tr w:rsidR="00000000" w14:paraId="2B928A29" w14:textId="77777777" w:rsidTr="00BF4090">
        <w:trPr>
          <w:cantSplit/>
          <w:jc w:val="center"/>
        </w:trPr>
        <w:tc>
          <w:tcPr>
            <w:tcW w:w="685" w:type="pct"/>
            <w:tcBorders>
              <w:top w:val="single" w:sz="4" w:space="0" w:color="auto"/>
              <w:left w:val="single" w:sz="4" w:space="0" w:color="auto"/>
            </w:tcBorders>
            <w:shd w:val="clear" w:color="auto" w:fill="auto"/>
          </w:tcPr>
          <w:p w14:paraId="5EF8D850" w14:textId="77777777" w:rsidR="00771086" w:rsidRPr="00DB5740" w:rsidRDefault="00771086" w:rsidP="00771086">
            <w:pPr>
              <w:autoSpaceDE w:val="0"/>
              <w:autoSpaceDN w:val="0"/>
              <w:adjustRightInd w:val="0"/>
            </w:pPr>
          </w:p>
        </w:tc>
        <w:tc>
          <w:tcPr>
            <w:tcW w:w="584" w:type="pct"/>
            <w:tcBorders>
              <w:top w:val="single" w:sz="4" w:space="0" w:color="auto"/>
            </w:tcBorders>
            <w:shd w:val="clear" w:color="auto" w:fill="auto"/>
          </w:tcPr>
          <w:p w14:paraId="0B8F5F17" w14:textId="77777777" w:rsidR="00771086" w:rsidRPr="00DB5740" w:rsidRDefault="00771086" w:rsidP="00771086">
            <w:pPr>
              <w:autoSpaceDE w:val="0"/>
              <w:autoSpaceDN w:val="0"/>
              <w:adjustRightInd w:val="0"/>
              <w:jc w:val="center"/>
            </w:pPr>
          </w:p>
        </w:tc>
        <w:tc>
          <w:tcPr>
            <w:tcW w:w="1907" w:type="pct"/>
            <w:tcBorders>
              <w:top w:val="single" w:sz="4" w:space="0" w:color="auto"/>
            </w:tcBorders>
            <w:shd w:val="clear" w:color="auto" w:fill="auto"/>
          </w:tcPr>
          <w:p w14:paraId="163FA9A9" w14:textId="77777777" w:rsidR="00771086" w:rsidRPr="00DB5740" w:rsidRDefault="005B5528" w:rsidP="00771086">
            <w:pPr>
              <w:pStyle w:val="BodyText"/>
              <w:spacing w:after="120"/>
            </w:pPr>
            <w:r w:rsidRPr="00DB5740">
              <w:rPr>
                <w:b/>
              </w:rPr>
              <w:t xml:space="preserve">Cybersecurity Risks.  </w:t>
            </w:r>
            <w:r w:rsidRPr="00DB5740">
              <w:t>Cybersecur</w:t>
            </w:r>
            <w:r w:rsidRPr="00DB5740">
              <w:t xml:space="preserve">ity and related risk disclosure, as well as timely disclosure of cyber incidents, has been a continuing SEC focus. </w:t>
            </w:r>
          </w:p>
          <w:p w14:paraId="235C63A1" w14:textId="77777777" w:rsidR="00771086" w:rsidRPr="00DB5740" w:rsidRDefault="005B5528" w:rsidP="00771086">
            <w:pPr>
              <w:pStyle w:val="BodyText"/>
              <w:spacing w:after="120"/>
            </w:pPr>
            <w:r w:rsidRPr="00DB5740">
              <w:rPr>
                <w:i/>
                <w:iCs/>
              </w:rPr>
              <w:t xml:space="preserve">Internal Accounting Controls.  </w:t>
            </w:r>
            <w:r w:rsidRPr="00DB5740">
              <w:t xml:space="preserve">In late 2018, the Commission published a </w:t>
            </w:r>
            <w:hyperlink r:id="rId86" w:history="1">
              <w:r w:rsidRPr="00DB5740">
                <w:rPr>
                  <w:rStyle w:val="Hyperlink"/>
                </w:rPr>
                <w:t>Report of Investigation</w:t>
              </w:r>
            </w:hyperlink>
            <w:r w:rsidRPr="00DB5740">
              <w:t xml:space="preserve"> into whether certain public companies that suffered financial losses as a result of cyber-related fraud had violated federal securities laws by failing to have a system of internal accounting controls that provides reasonable </w:t>
            </w:r>
            <w:r w:rsidRPr="00DB5740">
              <w:t>assurances that the company</w:t>
            </w:r>
            <w:r>
              <w:t>’</w:t>
            </w:r>
            <w:r w:rsidRPr="00DB5740">
              <w:t>s assets will be protected from cyber-related fraud.  The report emphasized that companies may need to reassess and revise their internal accounting controls in light of emerging risks, including risks that arise from cyber-rela</w:t>
            </w:r>
            <w:r w:rsidRPr="00DB5740">
              <w:t xml:space="preserve">ted fraud and </w:t>
            </w:r>
            <w:r>
              <w:t>“</w:t>
            </w:r>
            <w:r w:rsidRPr="00DB5740">
              <w:t>today</w:t>
            </w:r>
            <w:r>
              <w:t>’</w:t>
            </w:r>
            <w:r w:rsidRPr="00DB5740">
              <w:t>s ever expanding digital interconnectedness.</w:t>
            </w:r>
            <w:r>
              <w:t>”</w:t>
            </w:r>
            <w:r w:rsidRPr="00DB5740">
              <w:t xml:space="preserve"> Specifically, companies must </w:t>
            </w:r>
            <w:r>
              <w:t>“</w:t>
            </w:r>
            <w:r w:rsidRPr="00DB5740">
              <w:t>devise and maintain internal accounting controls that provide reasonable assurances that transactions are executed with, or that access to company assets is pe</w:t>
            </w:r>
            <w:r w:rsidRPr="00DB5740">
              <w:t>rmitted only with, management</w:t>
            </w:r>
            <w:r>
              <w:t>’</w:t>
            </w:r>
            <w:r w:rsidRPr="00DB5740">
              <w:t>s general or specific authorization.</w:t>
            </w:r>
            <w:r>
              <w:t>”</w:t>
            </w:r>
            <w:r w:rsidRPr="00DB5740">
              <w:t xml:space="preserve"> </w:t>
            </w:r>
          </w:p>
          <w:p w14:paraId="2A66E9E9" w14:textId="77777777" w:rsidR="00771086" w:rsidRPr="00DB5740" w:rsidRDefault="005B5528" w:rsidP="00771086">
            <w:pPr>
              <w:pStyle w:val="BodyText"/>
              <w:spacing w:after="120"/>
            </w:pPr>
            <w:r w:rsidRPr="00DB5740">
              <w:t xml:space="preserve">Earlier in 2018, the SEC published an </w:t>
            </w:r>
            <w:hyperlink r:id="rId87" w:history="1">
              <w:r w:rsidRPr="00DB5740">
                <w:rPr>
                  <w:rStyle w:val="Hyperlink"/>
                </w:rPr>
                <w:t>interpretation</w:t>
              </w:r>
            </w:hyperlink>
            <w:r>
              <w:t xml:space="preserve"> t</w:t>
            </w:r>
            <w:r w:rsidRPr="00DB5740">
              <w:t>hat cited the following potential negative impact from cyber inci</w:t>
            </w:r>
            <w:r w:rsidRPr="00DB5740">
              <w:t>dents as examp</w:t>
            </w:r>
            <w:r>
              <w:t>l</w:t>
            </w:r>
            <w:r w:rsidRPr="00DB5740">
              <w:t>es:</w:t>
            </w:r>
          </w:p>
          <w:p w14:paraId="492861FE" w14:textId="77777777" w:rsidR="00771086" w:rsidRPr="00DB5740" w:rsidRDefault="005B5528" w:rsidP="00771086">
            <w:pPr>
              <w:keepNext/>
              <w:keepLines/>
              <w:numPr>
                <w:ilvl w:val="0"/>
                <w:numId w:val="24"/>
              </w:numPr>
              <w:autoSpaceDE w:val="0"/>
              <w:autoSpaceDN w:val="0"/>
              <w:adjustRightInd w:val="0"/>
              <w:spacing w:after="120"/>
              <w:ind w:left="421"/>
              <w:rPr>
                <w:b/>
              </w:rPr>
            </w:pPr>
            <w:r w:rsidRPr="00DB5740">
              <w:t>remediation costs, such as liability for stolen assets or information, repairs of system damage, and incentives to customers or business partners in an effort to maintain relationships after an attack;</w:t>
            </w:r>
          </w:p>
        </w:tc>
        <w:tc>
          <w:tcPr>
            <w:tcW w:w="925" w:type="pct"/>
            <w:tcBorders>
              <w:top w:val="single" w:sz="4" w:space="0" w:color="auto"/>
            </w:tcBorders>
            <w:shd w:val="clear" w:color="auto" w:fill="auto"/>
          </w:tcPr>
          <w:p w14:paraId="2D4418A7" w14:textId="77777777" w:rsidR="00771086" w:rsidRPr="00DB5740" w:rsidRDefault="005B5528" w:rsidP="00771086">
            <w:pPr>
              <w:pStyle w:val="BodyText"/>
              <w:spacing w:after="120"/>
            </w:pPr>
            <w:hyperlink r:id="rId88" w:history="1">
              <w:r w:rsidRPr="00DB5740">
                <w:rPr>
                  <w:rStyle w:val="Hyperlink"/>
                </w:rPr>
                <w:t>SEC Report Cautions</w:t>
              </w:r>
              <w:r>
                <w:rPr>
                  <w:rStyle w:val="Hyperlink"/>
                </w:rPr>
                <w:t xml:space="preserve"> </w:t>
              </w:r>
              <w:r w:rsidRPr="00DB5740">
                <w:rPr>
                  <w:rStyle w:val="Hyperlink"/>
                </w:rPr>
                <w:t>Public Companies on Internal Controls and Cybersecurity Risks</w:t>
              </w:r>
            </w:hyperlink>
          </w:p>
        </w:tc>
        <w:tc>
          <w:tcPr>
            <w:tcW w:w="585" w:type="pct"/>
            <w:tcBorders>
              <w:top w:val="single" w:sz="4" w:space="0" w:color="auto"/>
              <w:right w:val="single" w:sz="4" w:space="0" w:color="auto"/>
            </w:tcBorders>
            <w:shd w:val="clear" w:color="auto" w:fill="auto"/>
          </w:tcPr>
          <w:p w14:paraId="28728E2B" w14:textId="77777777" w:rsidR="00771086" w:rsidRPr="00DB5740" w:rsidRDefault="00771086" w:rsidP="00771086">
            <w:pPr>
              <w:autoSpaceDE w:val="0"/>
              <w:autoSpaceDN w:val="0"/>
              <w:adjustRightInd w:val="0"/>
              <w:rPr>
                <w:highlight w:val="yellow"/>
              </w:rPr>
            </w:pPr>
          </w:p>
        </w:tc>
        <w:tc>
          <w:tcPr>
            <w:tcW w:w="314" w:type="pct"/>
            <w:gridSpan w:val="2"/>
            <w:tcBorders>
              <w:top w:val="single" w:sz="4" w:space="0" w:color="auto"/>
              <w:right w:val="single" w:sz="4" w:space="0" w:color="auto"/>
            </w:tcBorders>
            <w:shd w:val="clear" w:color="auto" w:fill="auto"/>
            <w:vAlign w:val="center"/>
          </w:tcPr>
          <w:p w14:paraId="4DC4D6BF"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136F3009" w14:textId="77777777" w:rsidR="00771086" w:rsidRPr="00DB5740" w:rsidRDefault="005B5528" w:rsidP="00771086">
            <w:pPr>
              <w:autoSpaceDE w:val="0"/>
              <w:autoSpaceDN w:val="0"/>
              <w:adjustRightInd w:val="0"/>
              <w:jc w:val="center"/>
              <w:rPr>
                <w:highlight w:val="yellow"/>
              </w:rPr>
            </w:pPr>
            <w:r w:rsidRPr="00DB5740">
              <w:t xml:space="preserve">No  </w:t>
            </w:r>
            <w:r w:rsidRPr="00DB5740">
              <w:rPr>
                <w:rFonts w:ascii="Segoe UI Symbol" w:eastAsia="MS Gothic" w:hAnsi="Segoe UI Symbol" w:cs="Segoe UI Symbol"/>
              </w:rPr>
              <w:t>☐</w:t>
            </w:r>
          </w:p>
        </w:tc>
      </w:tr>
      <w:tr w:rsidR="00000000" w14:paraId="11CCCA58" w14:textId="77777777" w:rsidTr="00BF4090">
        <w:trPr>
          <w:cantSplit/>
          <w:jc w:val="center"/>
        </w:trPr>
        <w:tc>
          <w:tcPr>
            <w:tcW w:w="685" w:type="pct"/>
            <w:tcBorders>
              <w:top w:val="single" w:sz="4" w:space="0" w:color="auto"/>
              <w:left w:val="single" w:sz="4" w:space="0" w:color="auto"/>
            </w:tcBorders>
            <w:shd w:val="clear" w:color="auto" w:fill="auto"/>
          </w:tcPr>
          <w:p w14:paraId="2FCB05E9" w14:textId="77777777" w:rsidR="00771086" w:rsidRPr="00DB5740" w:rsidRDefault="00771086" w:rsidP="00771086">
            <w:pPr>
              <w:autoSpaceDE w:val="0"/>
              <w:autoSpaceDN w:val="0"/>
              <w:adjustRightInd w:val="0"/>
            </w:pPr>
          </w:p>
        </w:tc>
        <w:tc>
          <w:tcPr>
            <w:tcW w:w="584" w:type="pct"/>
            <w:tcBorders>
              <w:top w:val="single" w:sz="4" w:space="0" w:color="auto"/>
            </w:tcBorders>
            <w:shd w:val="clear" w:color="auto" w:fill="auto"/>
          </w:tcPr>
          <w:p w14:paraId="1AAE8C45" w14:textId="77777777" w:rsidR="00771086" w:rsidRPr="00DB5740" w:rsidRDefault="00771086" w:rsidP="00771086">
            <w:pPr>
              <w:autoSpaceDE w:val="0"/>
              <w:autoSpaceDN w:val="0"/>
              <w:adjustRightInd w:val="0"/>
              <w:jc w:val="center"/>
            </w:pPr>
          </w:p>
        </w:tc>
        <w:tc>
          <w:tcPr>
            <w:tcW w:w="1907" w:type="pct"/>
            <w:tcBorders>
              <w:top w:val="single" w:sz="4" w:space="0" w:color="auto"/>
            </w:tcBorders>
            <w:shd w:val="clear" w:color="auto" w:fill="auto"/>
          </w:tcPr>
          <w:p w14:paraId="3547F7A0" w14:textId="77777777" w:rsidR="00771086" w:rsidRPr="00DB5740" w:rsidRDefault="005B5528" w:rsidP="00771086">
            <w:pPr>
              <w:keepNext/>
              <w:keepLines/>
              <w:numPr>
                <w:ilvl w:val="0"/>
                <w:numId w:val="24"/>
              </w:numPr>
              <w:autoSpaceDE w:val="0"/>
              <w:autoSpaceDN w:val="0"/>
              <w:adjustRightInd w:val="0"/>
              <w:spacing w:after="120"/>
              <w:ind w:left="421"/>
            </w:pPr>
            <w:r w:rsidRPr="00DB5740">
              <w:t>increased cybersecurity protection costs, which may include the costs of making organ</w:t>
            </w:r>
            <w:r w:rsidRPr="00DB5740">
              <w:t>izational changes, deploying additional personnel and protection technologies, training employees, and engaging third party experts and consultants;</w:t>
            </w:r>
          </w:p>
          <w:p w14:paraId="24F396AF" w14:textId="77777777" w:rsidR="00771086" w:rsidRPr="00DB5740" w:rsidRDefault="005B5528" w:rsidP="00771086">
            <w:pPr>
              <w:keepNext/>
              <w:keepLines/>
              <w:numPr>
                <w:ilvl w:val="0"/>
                <w:numId w:val="24"/>
              </w:numPr>
              <w:autoSpaceDE w:val="0"/>
              <w:autoSpaceDN w:val="0"/>
              <w:adjustRightInd w:val="0"/>
              <w:spacing w:after="120"/>
              <w:ind w:left="421"/>
            </w:pPr>
            <w:r w:rsidRPr="00DB5740">
              <w:t>lost revenues resulting from the unauthorized use of proprietary information or the failure to retain or at</w:t>
            </w:r>
            <w:r w:rsidRPr="00DB5740">
              <w:t xml:space="preserve">tract customers following an attack; </w:t>
            </w:r>
          </w:p>
          <w:p w14:paraId="2FE87E15" w14:textId="77777777" w:rsidR="00771086" w:rsidRPr="00DB5740" w:rsidRDefault="005B5528" w:rsidP="00771086">
            <w:pPr>
              <w:keepNext/>
              <w:keepLines/>
              <w:numPr>
                <w:ilvl w:val="0"/>
                <w:numId w:val="24"/>
              </w:numPr>
              <w:autoSpaceDE w:val="0"/>
              <w:autoSpaceDN w:val="0"/>
              <w:adjustRightInd w:val="0"/>
              <w:spacing w:after="120"/>
              <w:ind w:left="421"/>
            </w:pPr>
            <w:r w:rsidRPr="00DB5740">
              <w:t xml:space="preserve">litigation and legal risks, including regulatory actions by state and federal governmental authorities and non-U.S. authorities; </w:t>
            </w:r>
          </w:p>
          <w:p w14:paraId="0539C28D" w14:textId="77777777" w:rsidR="00771086" w:rsidRPr="00DB5740" w:rsidRDefault="005B5528" w:rsidP="00771086">
            <w:pPr>
              <w:keepNext/>
              <w:keepLines/>
              <w:numPr>
                <w:ilvl w:val="0"/>
                <w:numId w:val="24"/>
              </w:numPr>
              <w:autoSpaceDE w:val="0"/>
              <w:autoSpaceDN w:val="0"/>
              <w:adjustRightInd w:val="0"/>
              <w:spacing w:after="120"/>
              <w:ind w:left="421"/>
            </w:pPr>
            <w:r w:rsidRPr="00DB5740">
              <w:t xml:space="preserve">increased insurance premiums; </w:t>
            </w:r>
          </w:p>
          <w:p w14:paraId="13E94350" w14:textId="77777777" w:rsidR="00771086" w:rsidRPr="00DB5740" w:rsidRDefault="005B5528" w:rsidP="00771086">
            <w:pPr>
              <w:keepNext/>
              <w:keepLines/>
              <w:numPr>
                <w:ilvl w:val="0"/>
                <w:numId w:val="24"/>
              </w:numPr>
              <w:autoSpaceDE w:val="0"/>
              <w:autoSpaceDN w:val="0"/>
              <w:adjustRightInd w:val="0"/>
              <w:spacing w:after="120"/>
              <w:ind w:left="421"/>
            </w:pPr>
            <w:r w:rsidRPr="00DB5740">
              <w:t>reputational damage that adversely affects customer or in</w:t>
            </w:r>
            <w:r w:rsidRPr="00DB5740">
              <w:t>vestor confidence; and</w:t>
            </w:r>
          </w:p>
          <w:p w14:paraId="76C80E5B" w14:textId="77777777" w:rsidR="00771086" w:rsidRPr="00DB5740" w:rsidRDefault="005B5528" w:rsidP="00771086">
            <w:pPr>
              <w:keepNext/>
              <w:keepLines/>
              <w:numPr>
                <w:ilvl w:val="0"/>
                <w:numId w:val="24"/>
              </w:numPr>
              <w:autoSpaceDE w:val="0"/>
              <w:autoSpaceDN w:val="0"/>
              <w:adjustRightInd w:val="0"/>
              <w:spacing w:after="120"/>
              <w:ind w:left="421"/>
              <w:rPr>
                <w:b/>
              </w:rPr>
            </w:pPr>
            <w:r w:rsidRPr="00DB5740">
              <w:t>damage to the company</w:t>
            </w:r>
            <w:r>
              <w:t>’</w:t>
            </w:r>
            <w:r w:rsidRPr="00DB5740">
              <w:t>s competitiveness, stock price, and long-term shareholder value.</w:t>
            </w:r>
          </w:p>
        </w:tc>
        <w:tc>
          <w:tcPr>
            <w:tcW w:w="925" w:type="pct"/>
            <w:tcBorders>
              <w:top w:val="single" w:sz="4" w:space="0" w:color="auto"/>
            </w:tcBorders>
            <w:shd w:val="clear" w:color="auto" w:fill="auto"/>
          </w:tcPr>
          <w:p w14:paraId="73DB9F08" w14:textId="77777777" w:rsidR="00771086" w:rsidRPr="00DB5740" w:rsidRDefault="00771086" w:rsidP="00771086">
            <w:pPr>
              <w:pStyle w:val="BodyText"/>
              <w:spacing w:after="120"/>
            </w:pPr>
          </w:p>
        </w:tc>
        <w:tc>
          <w:tcPr>
            <w:tcW w:w="585" w:type="pct"/>
            <w:tcBorders>
              <w:top w:val="single" w:sz="4" w:space="0" w:color="auto"/>
              <w:right w:val="single" w:sz="4" w:space="0" w:color="auto"/>
            </w:tcBorders>
            <w:shd w:val="clear" w:color="auto" w:fill="auto"/>
          </w:tcPr>
          <w:p w14:paraId="4B70FE5A" w14:textId="77777777" w:rsidR="00771086" w:rsidRPr="00DB5740" w:rsidRDefault="00771086" w:rsidP="00771086">
            <w:pPr>
              <w:autoSpaceDE w:val="0"/>
              <w:autoSpaceDN w:val="0"/>
              <w:adjustRightInd w:val="0"/>
              <w:rPr>
                <w:highlight w:val="yellow"/>
              </w:rPr>
            </w:pPr>
          </w:p>
        </w:tc>
        <w:tc>
          <w:tcPr>
            <w:tcW w:w="314" w:type="pct"/>
            <w:gridSpan w:val="2"/>
            <w:tcBorders>
              <w:top w:val="single" w:sz="4" w:space="0" w:color="auto"/>
              <w:right w:val="single" w:sz="4" w:space="0" w:color="auto"/>
            </w:tcBorders>
            <w:shd w:val="clear" w:color="auto" w:fill="auto"/>
            <w:vAlign w:val="center"/>
          </w:tcPr>
          <w:p w14:paraId="48DA93B1"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0460D4B5"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1FCF8A64" w14:textId="77777777" w:rsidTr="00BF4090">
        <w:trPr>
          <w:cantSplit/>
          <w:jc w:val="center"/>
        </w:trPr>
        <w:tc>
          <w:tcPr>
            <w:tcW w:w="685" w:type="pct"/>
            <w:tcBorders>
              <w:top w:val="single" w:sz="4" w:space="0" w:color="auto"/>
              <w:left w:val="single" w:sz="4" w:space="0" w:color="auto"/>
            </w:tcBorders>
            <w:shd w:val="clear" w:color="auto" w:fill="auto"/>
          </w:tcPr>
          <w:p w14:paraId="787B5A59" w14:textId="77777777" w:rsidR="00771086" w:rsidRPr="00DB5740" w:rsidRDefault="00771086" w:rsidP="00771086">
            <w:pPr>
              <w:autoSpaceDE w:val="0"/>
              <w:autoSpaceDN w:val="0"/>
              <w:adjustRightInd w:val="0"/>
            </w:pPr>
          </w:p>
        </w:tc>
        <w:tc>
          <w:tcPr>
            <w:tcW w:w="584" w:type="pct"/>
            <w:tcBorders>
              <w:top w:val="single" w:sz="4" w:space="0" w:color="auto"/>
            </w:tcBorders>
            <w:shd w:val="clear" w:color="auto" w:fill="auto"/>
          </w:tcPr>
          <w:p w14:paraId="2F45F401" w14:textId="77777777" w:rsidR="00771086" w:rsidRPr="00DB5740" w:rsidRDefault="00771086" w:rsidP="00771086">
            <w:pPr>
              <w:autoSpaceDE w:val="0"/>
              <w:autoSpaceDN w:val="0"/>
              <w:adjustRightInd w:val="0"/>
              <w:jc w:val="center"/>
            </w:pPr>
          </w:p>
        </w:tc>
        <w:tc>
          <w:tcPr>
            <w:tcW w:w="1907" w:type="pct"/>
            <w:tcBorders>
              <w:top w:val="single" w:sz="4" w:space="0" w:color="auto"/>
            </w:tcBorders>
            <w:shd w:val="clear" w:color="auto" w:fill="auto"/>
          </w:tcPr>
          <w:p w14:paraId="29AEA4F4" w14:textId="77777777" w:rsidR="00771086" w:rsidRPr="00DB5740" w:rsidRDefault="005B5528" w:rsidP="00771086">
            <w:pPr>
              <w:pStyle w:val="BodyText"/>
              <w:spacing w:after="120"/>
            </w:pPr>
            <w:r w:rsidRPr="00DB5740">
              <w:rPr>
                <w:b/>
                <w:bCs/>
              </w:rPr>
              <w:t>Cybersecurity Disclosures</w:t>
            </w:r>
            <w:r w:rsidRPr="00DB5740">
              <w:rPr>
                <w:i/>
                <w:iCs/>
              </w:rPr>
              <w:t xml:space="preserve">.  </w:t>
            </w:r>
            <w:r w:rsidRPr="00DB5740">
              <w:t xml:space="preserve">In the </w:t>
            </w:r>
            <w:hyperlink r:id="rId89" w:history="1">
              <w:r w:rsidRPr="00DB5740">
                <w:rPr>
                  <w:rStyle w:val="Hyperlink"/>
                </w:rPr>
                <w:t>interpretation</w:t>
              </w:r>
            </w:hyperlink>
            <w:r w:rsidRPr="00DB5740">
              <w:t>, the Commis</w:t>
            </w:r>
            <w:r w:rsidRPr="00DB5740">
              <w:t xml:space="preserve">sion stated that </w:t>
            </w:r>
            <w:r>
              <w:t>“</w:t>
            </w:r>
            <w:r w:rsidRPr="00DB5740">
              <w:t>[i]t would be helpful for companies to consider the following issues, among others, in evaluating cybersecurity risk factor disclosure:</w:t>
            </w:r>
          </w:p>
          <w:p w14:paraId="2BFAEF45" w14:textId="77777777" w:rsidR="00771086" w:rsidRPr="00DB5740" w:rsidRDefault="005B5528" w:rsidP="00771086">
            <w:pPr>
              <w:pStyle w:val="BodyText"/>
              <w:numPr>
                <w:ilvl w:val="0"/>
                <w:numId w:val="17"/>
              </w:numPr>
              <w:spacing w:after="120"/>
              <w:ind w:left="421"/>
            </w:pPr>
            <w:r w:rsidRPr="00DB5740">
              <w:t>the occurrence of prior cybersecurity incidents, including their severity and frequency;</w:t>
            </w:r>
          </w:p>
          <w:p w14:paraId="54BA009C" w14:textId="77777777" w:rsidR="00771086" w:rsidRPr="00DB5740" w:rsidRDefault="005B5528" w:rsidP="00771086">
            <w:pPr>
              <w:pStyle w:val="BodyText"/>
              <w:numPr>
                <w:ilvl w:val="0"/>
                <w:numId w:val="17"/>
              </w:numPr>
              <w:spacing w:after="120"/>
              <w:ind w:left="421"/>
            </w:pPr>
            <w:r w:rsidRPr="00DB5740">
              <w:t>the probabili</w:t>
            </w:r>
            <w:r w:rsidRPr="00DB5740">
              <w:t xml:space="preserve">ty of the occurrence and potential magnitude of cybersecurity incidents; </w:t>
            </w:r>
          </w:p>
          <w:p w14:paraId="7EB632A4" w14:textId="77777777" w:rsidR="00771086" w:rsidRPr="00DB5740" w:rsidRDefault="005B5528" w:rsidP="00771086">
            <w:pPr>
              <w:pStyle w:val="BodyText"/>
              <w:numPr>
                <w:ilvl w:val="0"/>
                <w:numId w:val="17"/>
              </w:numPr>
              <w:spacing w:after="120"/>
              <w:ind w:left="421"/>
            </w:pPr>
            <w:r w:rsidRPr="00DB5740">
              <w:t>the adequacy of preventative actions taken to reduce cybersecurity risks and the associated costs, including, if appropriate, discussing the limits of the company</w:t>
            </w:r>
            <w:r>
              <w:t>’</w:t>
            </w:r>
            <w:r w:rsidRPr="00DB5740">
              <w:t>s ability to preven</w:t>
            </w:r>
            <w:r w:rsidRPr="00DB5740">
              <w:t>t or mitigate certain cybersecurity risks;</w:t>
            </w:r>
          </w:p>
          <w:p w14:paraId="2EC1B2D8" w14:textId="77777777" w:rsidR="00771086" w:rsidRPr="00DB5740" w:rsidRDefault="005B5528" w:rsidP="00771086">
            <w:pPr>
              <w:pStyle w:val="BodyText"/>
              <w:numPr>
                <w:ilvl w:val="0"/>
                <w:numId w:val="17"/>
              </w:numPr>
              <w:spacing w:after="120"/>
              <w:ind w:left="421"/>
            </w:pPr>
            <w:r w:rsidRPr="00DB5740">
              <w:t>the aspects of the company</w:t>
            </w:r>
            <w:r>
              <w:t>’</w:t>
            </w:r>
            <w:r w:rsidRPr="00DB5740">
              <w:t>s business and operations that give rise to material cybersecurity risks and the potential costs and consequences of such risks, including industry-specific risks and third-party supplie</w:t>
            </w:r>
            <w:r w:rsidRPr="00DB5740">
              <w:t>r and service provider risks;</w:t>
            </w:r>
          </w:p>
          <w:p w14:paraId="57F6C649" w14:textId="77777777" w:rsidR="00771086" w:rsidRPr="00DB5740" w:rsidRDefault="005B5528" w:rsidP="00771086">
            <w:pPr>
              <w:pStyle w:val="BodyText"/>
              <w:numPr>
                <w:ilvl w:val="0"/>
                <w:numId w:val="17"/>
              </w:numPr>
              <w:spacing w:after="120"/>
              <w:ind w:left="421"/>
            </w:pPr>
            <w:r w:rsidRPr="00DB5740">
              <w:t>the costs associated with maintaining cybersecurity protections, including, if applicable, insurance coverage relating to cybersecurity incidents or payments to service providers;</w:t>
            </w:r>
          </w:p>
          <w:p w14:paraId="3121B2BD" w14:textId="77777777" w:rsidR="00771086" w:rsidRPr="00DB5740" w:rsidRDefault="005B5528" w:rsidP="00771086">
            <w:pPr>
              <w:pStyle w:val="BodyText"/>
              <w:numPr>
                <w:ilvl w:val="0"/>
                <w:numId w:val="17"/>
              </w:numPr>
              <w:spacing w:after="120"/>
              <w:ind w:left="421"/>
            </w:pPr>
            <w:r w:rsidRPr="00DB5740">
              <w:t>the potential for reputational harm;</w:t>
            </w:r>
          </w:p>
          <w:p w14:paraId="74D2DCCA" w14:textId="77777777" w:rsidR="00771086" w:rsidRPr="00DB5740" w:rsidRDefault="005B5528" w:rsidP="00771086">
            <w:pPr>
              <w:pStyle w:val="BodyText"/>
              <w:numPr>
                <w:ilvl w:val="0"/>
                <w:numId w:val="17"/>
              </w:numPr>
              <w:spacing w:after="120"/>
              <w:ind w:left="421"/>
            </w:pPr>
            <w:r w:rsidRPr="00DB5740">
              <w:t xml:space="preserve">existing </w:t>
            </w:r>
            <w:r w:rsidRPr="00DB5740">
              <w:t>or pending laws and regulations that may affect the requirements to which companies are subject relating to cybersecurity and the associated costs to companies; and</w:t>
            </w:r>
          </w:p>
          <w:p w14:paraId="586D334F" w14:textId="77777777" w:rsidR="00771086" w:rsidRPr="00DB5740" w:rsidRDefault="005B5528" w:rsidP="00771086">
            <w:pPr>
              <w:pStyle w:val="BodyText"/>
              <w:numPr>
                <w:ilvl w:val="0"/>
                <w:numId w:val="17"/>
              </w:numPr>
              <w:spacing w:after="120"/>
              <w:ind w:left="421"/>
              <w:rPr>
                <w:b/>
              </w:rPr>
            </w:pPr>
            <w:r w:rsidRPr="00DB5740">
              <w:t>litigation, regulatory investigation, and remediation costs associated with cybersecurity i</w:t>
            </w:r>
            <w:r w:rsidRPr="00DB5740">
              <w:t>ncidents.</w:t>
            </w:r>
            <w:r>
              <w:t>”</w:t>
            </w:r>
          </w:p>
        </w:tc>
        <w:tc>
          <w:tcPr>
            <w:tcW w:w="925" w:type="pct"/>
            <w:tcBorders>
              <w:top w:val="single" w:sz="4" w:space="0" w:color="auto"/>
            </w:tcBorders>
            <w:shd w:val="clear" w:color="auto" w:fill="auto"/>
          </w:tcPr>
          <w:p w14:paraId="70563656" w14:textId="77777777" w:rsidR="00771086" w:rsidRPr="00DB5740" w:rsidRDefault="00771086" w:rsidP="00771086">
            <w:pPr>
              <w:pStyle w:val="BodyText"/>
              <w:spacing w:after="120"/>
            </w:pPr>
          </w:p>
        </w:tc>
        <w:tc>
          <w:tcPr>
            <w:tcW w:w="585" w:type="pct"/>
            <w:tcBorders>
              <w:top w:val="single" w:sz="4" w:space="0" w:color="auto"/>
              <w:right w:val="single" w:sz="4" w:space="0" w:color="auto"/>
            </w:tcBorders>
            <w:shd w:val="clear" w:color="auto" w:fill="auto"/>
          </w:tcPr>
          <w:p w14:paraId="366F7CE0" w14:textId="77777777" w:rsidR="00771086" w:rsidRPr="00DB5740" w:rsidRDefault="00771086" w:rsidP="00771086">
            <w:pPr>
              <w:autoSpaceDE w:val="0"/>
              <w:autoSpaceDN w:val="0"/>
              <w:adjustRightInd w:val="0"/>
              <w:rPr>
                <w:highlight w:val="yellow"/>
              </w:rPr>
            </w:pPr>
          </w:p>
        </w:tc>
        <w:tc>
          <w:tcPr>
            <w:tcW w:w="314" w:type="pct"/>
            <w:gridSpan w:val="2"/>
            <w:tcBorders>
              <w:top w:val="single" w:sz="4" w:space="0" w:color="auto"/>
              <w:right w:val="single" w:sz="4" w:space="0" w:color="auto"/>
            </w:tcBorders>
            <w:shd w:val="clear" w:color="auto" w:fill="auto"/>
            <w:vAlign w:val="center"/>
          </w:tcPr>
          <w:p w14:paraId="6E166C1F"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6D3EDDCA" w14:textId="77777777" w:rsidR="00771086" w:rsidRPr="00DB5740" w:rsidRDefault="005B5528" w:rsidP="00771086">
            <w:pPr>
              <w:autoSpaceDE w:val="0"/>
              <w:autoSpaceDN w:val="0"/>
              <w:adjustRightInd w:val="0"/>
              <w:jc w:val="center"/>
              <w:rPr>
                <w:highlight w:val="yellow"/>
              </w:rPr>
            </w:pPr>
            <w:r w:rsidRPr="00DB5740">
              <w:t xml:space="preserve">No  </w:t>
            </w:r>
            <w:r w:rsidRPr="00DB5740">
              <w:rPr>
                <w:rFonts w:ascii="Segoe UI Symbol" w:eastAsia="MS Gothic" w:hAnsi="Segoe UI Symbol" w:cs="Segoe UI Symbol"/>
              </w:rPr>
              <w:t>☐</w:t>
            </w:r>
          </w:p>
        </w:tc>
      </w:tr>
      <w:tr w:rsidR="00000000" w14:paraId="5FFEE77A" w14:textId="77777777" w:rsidTr="00BF4090">
        <w:trPr>
          <w:cantSplit/>
          <w:jc w:val="center"/>
        </w:trPr>
        <w:tc>
          <w:tcPr>
            <w:tcW w:w="685" w:type="pct"/>
            <w:tcBorders>
              <w:top w:val="single" w:sz="4" w:space="0" w:color="auto"/>
              <w:left w:val="single" w:sz="4" w:space="0" w:color="auto"/>
            </w:tcBorders>
            <w:shd w:val="clear" w:color="auto" w:fill="auto"/>
          </w:tcPr>
          <w:p w14:paraId="77FCE97A" w14:textId="77777777" w:rsidR="00771086" w:rsidRPr="00DB5740" w:rsidRDefault="00771086" w:rsidP="00771086">
            <w:pPr>
              <w:autoSpaceDE w:val="0"/>
              <w:autoSpaceDN w:val="0"/>
              <w:adjustRightInd w:val="0"/>
            </w:pPr>
          </w:p>
        </w:tc>
        <w:tc>
          <w:tcPr>
            <w:tcW w:w="584" w:type="pct"/>
            <w:tcBorders>
              <w:top w:val="single" w:sz="4" w:space="0" w:color="auto"/>
            </w:tcBorders>
            <w:shd w:val="clear" w:color="auto" w:fill="auto"/>
          </w:tcPr>
          <w:p w14:paraId="3C95F4A4" w14:textId="77777777" w:rsidR="00771086" w:rsidRPr="00DB5740" w:rsidRDefault="00771086" w:rsidP="00771086">
            <w:pPr>
              <w:autoSpaceDE w:val="0"/>
              <w:autoSpaceDN w:val="0"/>
              <w:adjustRightInd w:val="0"/>
              <w:jc w:val="center"/>
            </w:pPr>
          </w:p>
        </w:tc>
        <w:tc>
          <w:tcPr>
            <w:tcW w:w="1907" w:type="pct"/>
            <w:tcBorders>
              <w:top w:val="single" w:sz="4" w:space="0" w:color="auto"/>
            </w:tcBorders>
            <w:shd w:val="clear" w:color="auto" w:fill="auto"/>
          </w:tcPr>
          <w:p w14:paraId="5FD71337" w14:textId="77777777" w:rsidR="00771086" w:rsidRPr="00DB5740" w:rsidRDefault="005B5528" w:rsidP="00771086">
            <w:pPr>
              <w:pStyle w:val="BodyText"/>
              <w:spacing w:after="120"/>
              <w:rPr>
                <w:b/>
              </w:rPr>
            </w:pPr>
            <w:r w:rsidRPr="00DB5740">
              <w:rPr>
                <w:b/>
              </w:rPr>
              <w:t>Hypothetical Risks vs. Actual Events</w:t>
            </w:r>
          </w:p>
          <w:p w14:paraId="59090470" w14:textId="77777777" w:rsidR="00771086" w:rsidRPr="00DB5740" w:rsidRDefault="005B5528" w:rsidP="00771086">
            <w:pPr>
              <w:pStyle w:val="BodyText"/>
              <w:spacing w:after="120"/>
            </w:pPr>
            <w:r w:rsidRPr="00DB5740">
              <w:t>As noted above, disclosure of hypothetical risks is not appropriate if the risk has actually occurred.  Review of cyber risk disclosure should include review in light of actual cyber events.</w:t>
            </w:r>
          </w:p>
          <w:p w14:paraId="49FC2643" w14:textId="77777777" w:rsidR="00771086" w:rsidRPr="00DB5740" w:rsidRDefault="005B5528" w:rsidP="00771086">
            <w:pPr>
              <w:pStyle w:val="BodyText"/>
              <w:spacing w:after="120"/>
            </w:pPr>
            <w:r w:rsidRPr="00DB5740">
              <w:t xml:space="preserve">In addition, companies have a duty to correct any prior disclosure that </w:t>
            </w:r>
            <w:r>
              <w:t xml:space="preserve">at the time such disclosure was made </w:t>
            </w:r>
            <w:r w:rsidRPr="00DB5740">
              <w:t>was untrue or omitted necessary material facts that would otherwise make the disclosure misleading.</w:t>
            </w:r>
          </w:p>
          <w:p w14:paraId="6954AF8E" w14:textId="77777777" w:rsidR="00771086" w:rsidRPr="00DB5740" w:rsidRDefault="005B5528" w:rsidP="00771086">
            <w:pPr>
              <w:pStyle w:val="BodyText"/>
              <w:spacing w:after="120"/>
            </w:pPr>
            <w:r w:rsidRPr="00DB5740">
              <w:t>When a material incident occurs, companies shou</w:t>
            </w:r>
            <w:r w:rsidRPr="00DB5740">
              <w:t xml:space="preserve">ld be aware of the need for timely disclosures.  Additional guidance can be found in </w:t>
            </w:r>
            <w:hyperlink r:id="rId90" w:tgtFrame="_blank" w:history="1">
              <w:r w:rsidRPr="00DB5740">
                <w:rPr>
                  <w:rStyle w:val="Hyperlink"/>
                </w:rPr>
                <w:t xml:space="preserve">CF Disclosure Guidance: Topic No. 2, </w:t>
              </w:r>
              <w:r>
                <w:rPr>
                  <w:rStyle w:val="Hyperlink"/>
                </w:rPr>
                <w:t>“</w:t>
              </w:r>
              <w:r w:rsidRPr="00DB5740">
                <w:rPr>
                  <w:rStyle w:val="Hyperlink"/>
                </w:rPr>
                <w:t>Cybersecurity</w:t>
              </w:r>
              <w:r>
                <w:rPr>
                  <w:rStyle w:val="Hyperlink"/>
                </w:rPr>
                <w:t>”</w:t>
              </w:r>
            </w:hyperlink>
            <w:r w:rsidRPr="00DB5740">
              <w:t> (October 13, 2011).</w:t>
            </w:r>
          </w:p>
        </w:tc>
        <w:tc>
          <w:tcPr>
            <w:tcW w:w="925" w:type="pct"/>
            <w:tcBorders>
              <w:top w:val="single" w:sz="4" w:space="0" w:color="auto"/>
            </w:tcBorders>
            <w:shd w:val="clear" w:color="auto" w:fill="auto"/>
          </w:tcPr>
          <w:p w14:paraId="70DFC4E8" w14:textId="77777777" w:rsidR="00771086" w:rsidRPr="00DB5740" w:rsidRDefault="005B5528" w:rsidP="00771086">
            <w:pPr>
              <w:pStyle w:val="BodyText"/>
              <w:spacing w:after="120"/>
            </w:pPr>
            <w:hyperlink r:id="rId91" w:history="1">
              <w:r w:rsidRPr="00DB5740">
                <w:rPr>
                  <w:rStyle w:val="Hyperlink"/>
                </w:rPr>
                <w:t>SEC Press Release</w:t>
              </w:r>
            </w:hyperlink>
          </w:p>
          <w:p w14:paraId="5391EED1" w14:textId="77777777" w:rsidR="00771086" w:rsidRPr="00DB5740" w:rsidRDefault="005B5528" w:rsidP="00771086">
            <w:pPr>
              <w:pStyle w:val="BodyText"/>
              <w:spacing w:after="120"/>
            </w:pPr>
            <w:hyperlink r:id="rId92" w:history="1">
              <w:r w:rsidRPr="00DB5740">
                <w:rPr>
                  <w:rStyle w:val="Hyperlink"/>
                </w:rPr>
                <w:t>SEC Complaint</w:t>
              </w:r>
            </w:hyperlink>
          </w:p>
          <w:p w14:paraId="2083AF8E" w14:textId="77777777" w:rsidR="00771086" w:rsidRPr="00DB5740" w:rsidRDefault="005B5528" w:rsidP="00771086">
            <w:pPr>
              <w:pStyle w:val="BodyText"/>
              <w:spacing w:after="120"/>
            </w:pPr>
            <w:hyperlink r:id="rId93" w:tgtFrame="_blank" w:history="1">
              <w:r w:rsidRPr="00DB5740">
                <w:rPr>
                  <w:rStyle w:val="Hyperlink"/>
                </w:rPr>
                <w:t xml:space="preserve">CF Disclosure Guidance: Topic No. 2, </w:t>
              </w:r>
              <w:r>
                <w:rPr>
                  <w:rStyle w:val="Hyperlink"/>
                </w:rPr>
                <w:t>“</w:t>
              </w:r>
              <w:r w:rsidRPr="00DB5740">
                <w:rPr>
                  <w:rStyle w:val="Hyperlink"/>
                </w:rPr>
                <w:t>Cybersecurity</w:t>
              </w:r>
              <w:r>
                <w:rPr>
                  <w:rStyle w:val="Hyperlink"/>
                </w:rPr>
                <w:t>”</w:t>
              </w:r>
            </w:hyperlink>
          </w:p>
        </w:tc>
        <w:tc>
          <w:tcPr>
            <w:tcW w:w="585" w:type="pct"/>
            <w:tcBorders>
              <w:top w:val="single" w:sz="4" w:space="0" w:color="auto"/>
              <w:right w:val="single" w:sz="4" w:space="0" w:color="auto"/>
            </w:tcBorders>
            <w:shd w:val="clear" w:color="auto" w:fill="auto"/>
          </w:tcPr>
          <w:p w14:paraId="76F29613" w14:textId="77777777" w:rsidR="00771086" w:rsidRPr="00DB5740" w:rsidRDefault="00771086" w:rsidP="00771086">
            <w:pPr>
              <w:autoSpaceDE w:val="0"/>
              <w:autoSpaceDN w:val="0"/>
              <w:adjustRightInd w:val="0"/>
              <w:rPr>
                <w:highlight w:val="yellow"/>
              </w:rPr>
            </w:pPr>
          </w:p>
        </w:tc>
        <w:tc>
          <w:tcPr>
            <w:tcW w:w="314" w:type="pct"/>
            <w:gridSpan w:val="2"/>
            <w:tcBorders>
              <w:top w:val="single" w:sz="4" w:space="0" w:color="auto"/>
              <w:right w:val="single" w:sz="4" w:space="0" w:color="auto"/>
            </w:tcBorders>
            <w:shd w:val="clear" w:color="auto" w:fill="auto"/>
            <w:vAlign w:val="center"/>
          </w:tcPr>
          <w:p w14:paraId="53745FA5"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328629D0" w14:textId="77777777" w:rsidR="00771086" w:rsidRPr="00DB5740" w:rsidRDefault="005B5528" w:rsidP="00771086">
            <w:pPr>
              <w:autoSpaceDE w:val="0"/>
              <w:autoSpaceDN w:val="0"/>
              <w:adjustRightInd w:val="0"/>
              <w:jc w:val="center"/>
              <w:rPr>
                <w:highlight w:val="yellow"/>
              </w:rPr>
            </w:pPr>
            <w:r w:rsidRPr="00DB5740">
              <w:t xml:space="preserve">No  </w:t>
            </w:r>
            <w:r w:rsidRPr="00DB5740">
              <w:rPr>
                <w:rFonts w:ascii="Segoe UI Symbol" w:eastAsia="MS Gothic" w:hAnsi="Segoe UI Symbol" w:cs="Segoe UI Symbol"/>
              </w:rPr>
              <w:t>☐</w:t>
            </w:r>
          </w:p>
        </w:tc>
      </w:tr>
      <w:tr w:rsidR="00000000" w14:paraId="2E87E8BB" w14:textId="77777777" w:rsidTr="00BF4090">
        <w:trPr>
          <w:cantSplit/>
          <w:jc w:val="center"/>
        </w:trPr>
        <w:tc>
          <w:tcPr>
            <w:tcW w:w="685" w:type="pct"/>
            <w:tcBorders>
              <w:top w:val="single" w:sz="4" w:space="0" w:color="auto"/>
              <w:left w:val="single" w:sz="4" w:space="0" w:color="auto"/>
            </w:tcBorders>
            <w:shd w:val="clear" w:color="auto" w:fill="auto"/>
          </w:tcPr>
          <w:p w14:paraId="51032822" w14:textId="77777777" w:rsidR="00771086" w:rsidRPr="00DB5740" w:rsidRDefault="00771086" w:rsidP="00771086">
            <w:pPr>
              <w:autoSpaceDE w:val="0"/>
              <w:autoSpaceDN w:val="0"/>
              <w:adjustRightInd w:val="0"/>
            </w:pPr>
          </w:p>
        </w:tc>
        <w:tc>
          <w:tcPr>
            <w:tcW w:w="584" w:type="pct"/>
            <w:tcBorders>
              <w:top w:val="single" w:sz="4" w:space="0" w:color="auto"/>
            </w:tcBorders>
            <w:shd w:val="clear" w:color="auto" w:fill="auto"/>
          </w:tcPr>
          <w:p w14:paraId="01278103" w14:textId="77777777" w:rsidR="00771086" w:rsidRPr="00DB5740" w:rsidRDefault="00771086" w:rsidP="00771086">
            <w:pPr>
              <w:autoSpaceDE w:val="0"/>
              <w:autoSpaceDN w:val="0"/>
              <w:adjustRightInd w:val="0"/>
              <w:jc w:val="center"/>
            </w:pPr>
          </w:p>
        </w:tc>
        <w:tc>
          <w:tcPr>
            <w:tcW w:w="1907" w:type="pct"/>
            <w:tcBorders>
              <w:top w:val="single" w:sz="4" w:space="0" w:color="auto"/>
            </w:tcBorders>
            <w:shd w:val="clear" w:color="auto" w:fill="auto"/>
          </w:tcPr>
          <w:p w14:paraId="638D0FB4" w14:textId="77777777" w:rsidR="00771086" w:rsidRPr="00DB5740" w:rsidRDefault="005B5528" w:rsidP="00771086">
            <w:pPr>
              <w:pStyle w:val="BodyText"/>
              <w:spacing w:after="120"/>
              <w:rPr>
                <w:b/>
              </w:rPr>
            </w:pPr>
            <w:r w:rsidRPr="00DB5740">
              <w:rPr>
                <w:b/>
              </w:rPr>
              <w:t>LIBOR Transition Risks</w:t>
            </w:r>
          </w:p>
          <w:p w14:paraId="35A04E66" w14:textId="77777777" w:rsidR="00771086" w:rsidRPr="00DB5740" w:rsidRDefault="005B5528" w:rsidP="00771086">
            <w:pPr>
              <w:pStyle w:val="BodyText"/>
              <w:spacing w:after="120"/>
            </w:pPr>
            <w:r w:rsidRPr="00DB5740">
              <w:t>Disclosure about the LIBOR sunset in 2021 has been a topic of concern to the SEC.  The SEC staff statement</w:t>
            </w:r>
            <w:r>
              <w:t>s</w:t>
            </w:r>
            <w:r w:rsidRPr="00DB5740">
              <w:t xml:space="preserve"> cited here highlight a variety of</w:t>
            </w:r>
            <w:r w:rsidRPr="00DB5740">
              <w:t xml:space="preserve"> risks for companies to consider, including specific discussions by the Divisions o</w:t>
            </w:r>
            <w:r>
              <w:t>f</w:t>
            </w:r>
            <w:r w:rsidRPr="00DB5740">
              <w:t xml:space="preserve"> Corporation </w:t>
            </w:r>
            <w:r>
              <w:t>F</w:t>
            </w:r>
            <w:r w:rsidRPr="00DB5740">
              <w:t>inance, Investment Management and Trading and Markets, as well as the Office of the Chief A</w:t>
            </w:r>
            <w:r>
              <w:t>c</w:t>
            </w:r>
            <w:r w:rsidRPr="00DB5740">
              <w:t xml:space="preserve">countant.  </w:t>
            </w:r>
          </w:p>
          <w:p w14:paraId="61EC7479" w14:textId="77777777" w:rsidR="00771086" w:rsidRDefault="005B5528" w:rsidP="00771086">
            <w:pPr>
              <w:pStyle w:val="BodyText"/>
              <w:spacing w:after="120"/>
              <w:rPr>
                <w:i/>
                <w:iCs/>
              </w:rPr>
            </w:pPr>
            <w:r w:rsidRPr="00DB5740">
              <w:t>T</w:t>
            </w:r>
            <w:r>
              <w:t>h</w:t>
            </w:r>
            <w:r w:rsidRPr="00DB5740">
              <w:t xml:space="preserve">e Division of Corporation Finance noted that </w:t>
            </w:r>
            <w:r>
              <w:t>“</w:t>
            </w:r>
            <w:r w:rsidRPr="00DB5740">
              <w:t>[a] nu</w:t>
            </w:r>
            <w:r w:rsidRPr="00DB5740">
              <w:t>mber of existing rules or regulations may require disclosure related to the expected discontinuation of LIBOR, including rules and regulations related to disclosure of risk factors, management</w:t>
            </w:r>
            <w:r>
              <w:t>’</w:t>
            </w:r>
            <w:r w:rsidRPr="00DB5740">
              <w:t xml:space="preserve">s discussion and analysis, board risk oversight, and financial </w:t>
            </w:r>
            <w:r w:rsidRPr="00DB5740">
              <w:t>statements.</w:t>
            </w:r>
            <w:r>
              <w:t>”</w:t>
            </w:r>
            <w:r w:rsidRPr="00DB5740">
              <w:t xml:space="preserve"> The Office of the Chief Accountant highlighted accounting and financial reporting for modifications of terms within</w:t>
            </w:r>
            <w:r>
              <w:t xml:space="preserve"> </w:t>
            </w:r>
            <w:r w:rsidRPr="00DB5740">
              <w:t>debt instruments; hedging activities; inputs used in valuation models; and potential income tax consequences.</w:t>
            </w:r>
          </w:p>
          <w:p w14:paraId="473D227E" w14:textId="77777777" w:rsidR="00771086" w:rsidRPr="00EA050F" w:rsidRDefault="005B5528" w:rsidP="00771086">
            <w:pPr>
              <w:pStyle w:val="BodyText"/>
              <w:spacing w:after="120"/>
              <w:rPr>
                <w:bCs/>
                <w:i/>
                <w:iCs/>
              </w:rPr>
            </w:pPr>
            <w:r>
              <w:rPr>
                <w:bCs/>
                <w:i/>
                <w:iCs/>
              </w:rPr>
              <w:t xml:space="preserve">Confirm that any </w:t>
            </w:r>
            <w:r>
              <w:rPr>
                <w:bCs/>
                <w:i/>
                <w:iCs/>
              </w:rPr>
              <w:t>required LIBOR transition disclosure is included and has been updated, if appropriate.</w:t>
            </w:r>
          </w:p>
        </w:tc>
        <w:tc>
          <w:tcPr>
            <w:tcW w:w="925" w:type="pct"/>
            <w:tcBorders>
              <w:top w:val="single" w:sz="4" w:space="0" w:color="auto"/>
            </w:tcBorders>
            <w:shd w:val="clear" w:color="auto" w:fill="auto"/>
          </w:tcPr>
          <w:p w14:paraId="0F612221" w14:textId="77777777" w:rsidR="00771086" w:rsidRDefault="005B5528" w:rsidP="00771086">
            <w:pPr>
              <w:pStyle w:val="BodyText"/>
              <w:spacing w:after="120"/>
              <w:rPr>
                <w:rStyle w:val="Hyperlink"/>
              </w:rPr>
            </w:pPr>
            <w:hyperlink r:id="rId94" w:history="1">
              <w:r w:rsidRPr="00DB5740">
                <w:rPr>
                  <w:rStyle w:val="Hyperlink"/>
                </w:rPr>
                <w:t>SEC Staff Statement on LIBOR Transition</w:t>
              </w:r>
            </w:hyperlink>
          </w:p>
          <w:p w14:paraId="1C67041D" w14:textId="77777777" w:rsidR="00771086" w:rsidRPr="00DB5740" w:rsidRDefault="005B5528" w:rsidP="00771086">
            <w:pPr>
              <w:pStyle w:val="BodyText"/>
              <w:spacing w:after="120"/>
            </w:pPr>
            <w:hyperlink r:id="rId95" w:history="1">
              <w:r w:rsidRPr="005570A7">
                <w:rPr>
                  <w:rStyle w:val="Hyperlink"/>
                </w:rPr>
                <w:t>SEC Staff Statement</w:t>
              </w:r>
              <w:r>
                <w:rPr>
                  <w:rStyle w:val="Hyperlink"/>
                </w:rPr>
                <w:t xml:space="preserve"> </w:t>
              </w:r>
              <w:r w:rsidRPr="005570A7">
                <w:rPr>
                  <w:rStyle w:val="Hyperlink"/>
                </w:rPr>
                <w:t>on LIBOR Transition—Key Considerations for Market Participants</w:t>
              </w:r>
            </w:hyperlink>
          </w:p>
        </w:tc>
        <w:tc>
          <w:tcPr>
            <w:tcW w:w="585" w:type="pct"/>
            <w:tcBorders>
              <w:top w:val="single" w:sz="4" w:space="0" w:color="auto"/>
              <w:right w:val="single" w:sz="4" w:space="0" w:color="auto"/>
            </w:tcBorders>
            <w:shd w:val="clear" w:color="auto" w:fill="auto"/>
          </w:tcPr>
          <w:p w14:paraId="371581E3" w14:textId="77777777" w:rsidR="00771086" w:rsidRPr="00DB5740" w:rsidRDefault="00771086" w:rsidP="00771086">
            <w:pPr>
              <w:autoSpaceDE w:val="0"/>
              <w:autoSpaceDN w:val="0"/>
              <w:adjustRightInd w:val="0"/>
              <w:rPr>
                <w:highlight w:val="yellow"/>
              </w:rPr>
            </w:pPr>
          </w:p>
        </w:tc>
        <w:tc>
          <w:tcPr>
            <w:tcW w:w="314" w:type="pct"/>
            <w:gridSpan w:val="2"/>
            <w:tcBorders>
              <w:top w:val="single" w:sz="4" w:space="0" w:color="auto"/>
              <w:right w:val="single" w:sz="4" w:space="0" w:color="auto"/>
            </w:tcBorders>
            <w:shd w:val="clear" w:color="auto" w:fill="auto"/>
            <w:vAlign w:val="center"/>
          </w:tcPr>
          <w:p w14:paraId="4F24A187"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4B559D7F" w14:textId="77777777" w:rsidR="00771086" w:rsidRPr="00DB5740" w:rsidRDefault="005B5528" w:rsidP="00771086">
            <w:pPr>
              <w:autoSpaceDE w:val="0"/>
              <w:autoSpaceDN w:val="0"/>
              <w:adjustRightInd w:val="0"/>
              <w:jc w:val="center"/>
              <w:rPr>
                <w:highlight w:val="yellow"/>
              </w:rPr>
            </w:pPr>
            <w:r w:rsidRPr="00DB5740">
              <w:t xml:space="preserve">No  </w:t>
            </w:r>
            <w:r w:rsidRPr="00DB5740">
              <w:rPr>
                <w:rFonts w:ascii="Segoe UI Symbol" w:eastAsia="MS Gothic" w:hAnsi="Segoe UI Symbol" w:cs="Segoe UI Symbol"/>
              </w:rPr>
              <w:t>☐</w:t>
            </w:r>
          </w:p>
        </w:tc>
      </w:tr>
      <w:tr w:rsidR="00000000" w14:paraId="7D4C3471" w14:textId="77777777" w:rsidTr="00DB5740">
        <w:trPr>
          <w:cantSplit/>
          <w:jc w:val="center"/>
        </w:trPr>
        <w:tc>
          <w:tcPr>
            <w:tcW w:w="5000" w:type="pct"/>
            <w:gridSpan w:val="7"/>
            <w:tcBorders>
              <w:top w:val="single" w:sz="4" w:space="0" w:color="auto"/>
            </w:tcBorders>
            <w:shd w:val="clear" w:color="auto" w:fill="D9D9D9"/>
          </w:tcPr>
          <w:p w14:paraId="2EF80E60" w14:textId="77777777" w:rsidR="00771086" w:rsidRPr="00DB5740" w:rsidRDefault="005B5528" w:rsidP="00771086">
            <w:pPr>
              <w:keepNext/>
              <w:keepLines/>
              <w:autoSpaceDE w:val="0"/>
              <w:autoSpaceDN w:val="0"/>
              <w:adjustRightInd w:val="0"/>
              <w:spacing w:after="120"/>
              <w:rPr>
                <w:b/>
                <w:bCs/>
              </w:rPr>
            </w:pPr>
            <w:r w:rsidRPr="00DB5740">
              <w:rPr>
                <w:b/>
                <w:bCs/>
              </w:rPr>
              <w:lastRenderedPageBreak/>
              <w:t>Item 1B. Unresolved Staff Comments.</w:t>
            </w:r>
          </w:p>
        </w:tc>
      </w:tr>
      <w:tr w:rsidR="00000000" w14:paraId="59C0D550" w14:textId="77777777" w:rsidTr="00BF4090">
        <w:trPr>
          <w:cantSplit/>
          <w:jc w:val="center"/>
        </w:trPr>
        <w:tc>
          <w:tcPr>
            <w:tcW w:w="685" w:type="pct"/>
            <w:tcBorders>
              <w:top w:val="single" w:sz="4" w:space="0" w:color="auto"/>
            </w:tcBorders>
            <w:shd w:val="clear" w:color="auto" w:fill="auto"/>
          </w:tcPr>
          <w:p w14:paraId="6F84BC66" w14:textId="77777777" w:rsidR="00771086" w:rsidRPr="00DB5740" w:rsidRDefault="005B5528" w:rsidP="00771086">
            <w:pPr>
              <w:autoSpaceDE w:val="0"/>
              <w:autoSpaceDN w:val="0"/>
              <w:adjustRightInd w:val="0"/>
            </w:pPr>
            <w:r w:rsidRPr="00DB5740">
              <w:t>Item 1B. Unresolved Staff Comments</w:t>
            </w:r>
          </w:p>
          <w:p w14:paraId="523C7DE1" w14:textId="77777777" w:rsidR="00771086" w:rsidRPr="00DB5740" w:rsidRDefault="00771086" w:rsidP="00771086">
            <w:pPr>
              <w:autoSpaceDE w:val="0"/>
              <w:autoSpaceDN w:val="0"/>
              <w:adjustRightInd w:val="0"/>
            </w:pPr>
          </w:p>
          <w:p w14:paraId="75B5FF12" w14:textId="77777777" w:rsidR="00771086" w:rsidRPr="00DB5740" w:rsidRDefault="00771086" w:rsidP="00771086">
            <w:pPr>
              <w:autoSpaceDE w:val="0"/>
              <w:autoSpaceDN w:val="0"/>
              <w:adjustRightInd w:val="0"/>
              <w:rPr>
                <w:b/>
                <w:bCs/>
                <w:i/>
                <w:iCs/>
                <w:color w:val="FF0000"/>
              </w:rPr>
            </w:pPr>
          </w:p>
          <w:p w14:paraId="620749AD" w14:textId="77777777" w:rsidR="00771086" w:rsidRPr="00DB5740" w:rsidRDefault="00771086" w:rsidP="00771086">
            <w:pPr>
              <w:autoSpaceDE w:val="0"/>
              <w:autoSpaceDN w:val="0"/>
              <w:adjustRightInd w:val="0"/>
            </w:pPr>
          </w:p>
        </w:tc>
        <w:tc>
          <w:tcPr>
            <w:tcW w:w="584" w:type="pct"/>
            <w:tcBorders>
              <w:top w:val="single" w:sz="4" w:space="0" w:color="auto"/>
            </w:tcBorders>
            <w:shd w:val="clear" w:color="auto" w:fill="auto"/>
          </w:tcPr>
          <w:p w14:paraId="4CA260AB" w14:textId="77777777" w:rsidR="00771086" w:rsidRPr="00DB5740" w:rsidRDefault="005B5528" w:rsidP="00771086">
            <w:pPr>
              <w:autoSpaceDE w:val="0"/>
              <w:autoSpaceDN w:val="0"/>
              <w:adjustRightInd w:val="0"/>
              <w:jc w:val="center"/>
            </w:pPr>
            <w:r w:rsidRPr="00DB5740">
              <w:t xml:space="preserve">Form </w:t>
            </w:r>
            <w:r>
              <w:t>10</w:t>
            </w:r>
            <w:r>
              <w:noBreakHyphen/>
              <w:t>K</w:t>
            </w:r>
            <w:r w:rsidRPr="00DB5740">
              <w:t>, Item 1B.</w:t>
            </w:r>
          </w:p>
        </w:tc>
        <w:tc>
          <w:tcPr>
            <w:tcW w:w="1907" w:type="pct"/>
            <w:tcBorders>
              <w:top w:val="single" w:sz="4" w:space="0" w:color="auto"/>
            </w:tcBorders>
            <w:shd w:val="clear" w:color="auto" w:fill="auto"/>
          </w:tcPr>
          <w:p w14:paraId="0C634C67" w14:textId="77777777" w:rsidR="00771086" w:rsidRPr="00DB5740" w:rsidRDefault="005B5528" w:rsidP="00771086">
            <w:pPr>
              <w:keepNext/>
              <w:keepLines/>
              <w:autoSpaceDE w:val="0"/>
              <w:autoSpaceDN w:val="0"/>
              <w:adjustRightInd w:val="0"/>
              <w:spacing w:after="120"/>
              <w:rPr>
                <w:b/>
                <w:iCs/>
              </w:rPr>
            </w:pPr>
            <w:r w:rsidRPr="00DB5740">
              <w:rPr>
                <w:b/>
                <w:iCs/>
              </w:rPr>
              <w:t>Item 1B applies only to</w:t>
            </w:r>
            <w:r w:rsidRPr="00DB5740">
              <w:rPr>
                <w:b/>
                <w:iCs/>
              </w:rPr>
              <w:t xml:space="preserve"> large accelerated filers, accelerated filers and well-known seasoned issuers</w:t>
            </w:r>
          </w:p>
          <w:p w14:paraId="5876BB72" w14:textId="77777777" w:rsidR="00771086" w:rsidRPr="00215BB8" w:rsidRDefault="005B5528" w:rsidP="00771086">
            <w:pPr>
              <w:keepNext/>
              <w:keepLines/>
              <w:autoSpaceDE w:val="0"/>
              <w:autoSpaceDN w:val="0"/>
              <w:adjustRightInd w:val="0"/>
              <w:spacing w:after="120"/>
              <w:rPr>
                <w:i/>
                <w:iCs/>
              </w:rPr>
            </w:pPr>
            <w:r w:rsidRPr="00215BB8">
              <w:rPr>
                <w:i/>
                <w:iCs/>
              </w:rPr>
              <w:t>Confirm that the Form 10</w:t>
            </w:r>
            <w:r w:rsidRPr="00215BB8">
              <w:rPr>
                <w:i/>
                <w:iCs/>
              </w:rPr>
              <w:noBreakHyphen/>
              <w:t>K report discloses the substance of any written comments made not less than 180 days before the end of this fiscal year covered by the Form 10</w:t>
            </w:r>
            <w:r w:rsidRPr="00215BB8">
              <w:rPr>
                <w:i/>
                <w:iCs/>
              </w:rPr>
              <w:noBreakHyphen/>
              <w:t>K by the S</w:t>
            </w:r>
            <w:r w:rsidRPr="00215BB8">
              <w:rPr>
                <w:i/>
                <w:iCs/>
              </w:rPr>
              <w:t>EC staff on the company</w:t>
            </w:r>
            <w:r>
              <w:rPr>
                <w:i/>
                <w:iCs/>
              </w:rPr>
              <w:t>’</w:t>
            </w:r>
            <w:r w:rsidRPr="00215BB8">
              <w:rPr>
                <w:i/>
                <w:iCs/>
              </w:rPr>
              <w:t>s reports on Forms 10</w:t>
            </w:r>
            <w:r w:rsidRPr="00215BB8">
              <w:rPr>
                <w:i/>
                <w:iCs/>
              </w:rPr>
              <w:noBreakHyphen/>
              <w:t>K, 10</w:t>
            </w:r>
            <w:r w:rsidRPr="00215BB8">
              <w:rPr>
                <w:i/>
                <w:iCs/>
              </w:rPr>
              <w:noBreakHyphen/>
              <w:t>Q or 8</w:t>
            </w:r>
            <w:r w:rsidRPr="00215BB8">
              <w:rPr>
                <w:i/>
                <w:iCs/>
              </w:rPr>
              <w:noBreakHyphen/>
              <w:t>K if (1) the comments remain unresolved and (2) the company believes that the unresolved comments are material.  The company may include other relevant information in this section, including its po</w:t>
            </w:r>
            <w:r w:rsidRPr="00215BB8">
              <w:rPr>
                <w:i/>
                <w:iCs/>
              </w:rPr>
              <w:t>sition with respect to any unresolved material comments.</w:t>
            </w:r>
          </w:p>
        </w:tc>
        <w:tc>
          <w:tcPr>
            <w:tcW w:w="925" w:type="pct"/>
            <w:tcBorders>
              <w:top w:val="single" w:sz="4" w:space="0" w:color="auto"/>
            </w:tcBorders>
            <w:shd w:val="clear" w:color="auto" w:fill="auto"/>
          </w:tcPr>
          <w:p w14:paraId="5E01EED0" w14:textId="77777777" w:rsidR="00771086" w:rsidRPr="00DB5740" w:rsidRDefault="00771086" w:rsidP="00771086">
            <w:pPr>
              <w:autoSpaceDE w:val="0"/>
              <w:autoSpaceDN w:val="0"/>
              <w:adjustRightInd w:val="0"/>
              <w:spacing w:after="120"/>
            </w:pPr>
          </w:p>
        </w:tc>
        <w:tc>
          <w:tcPr>
            <w:tcW w:w="585" w:type="pct"/>
            <w:tcBorders>
              <w:top w:val="single" w:sz="4" w:space="0" w:color="auto"/>
            </w:tcBorders>
            <w:shd w:val="clear" w:color="auto" w:fill="auto"/>
          </w:tcPr>
          <w:p w14:paraId="0B3378B5" w14:textId="77777777" w:rsidR="00771086" w:rsidRPr="00DB5740" w:rsidRDefault="00771086" w:rsidP="00771086">
            <w:pPr>
              <w:autoSpaceDE w:val="0"/>
              <w:autoSpaceDN w:val="0"/>
              <w:adjustRightInd w:val="0"/>
            </w:pPr>
          </w:p>
        </w:tc>
        <w:tc>
          <w:tcPr>
            <w:tcW w:w="314" w:type="pct"/>
            <w:gridSpan w:val="2"/>
            <w:tcBorders>
              <w:top w:val="single" w:sz="4" w:space="0" w:color="auto"/>
            </w:tcBorders>
            <w:shd w:val="clear" w:color="auto" w:fill="auto"/>
            <w:vAlign w:val="center"/>
          </w:tcPr>
          <w:p w14:paraId="50AA74BF"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364D97AF"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63456EBA" w14:textId="77777777" w:rsidTr="00DB5740">
        <w:trPr>
          <w:cantSplit/>
          <w:jc w:val="center"/>
        </w:trPr>
        <w:tc>
          <w:tcPr>
            <w:tcW w:w="5000" w:type="pct"/>
            <w:gridSpan w:val="7"/>
            <w:tcBorders>
              <w:top w:val="single" w:sz="4" w:space="0" w:color="auto"/>
            </w:tcBorders>
            <w:shd w:val="clear" w:color="auto" w:fill="D9D9D9"/>
          </w:tcPr>
          <w:p w14:paraId="55C43581" w14:textId="77777777" w:rsidR="00771086" w:rsidRPr="00DB5740" w:rsidRDefault="005B5528" w:rsidP="00771086">
            <w:pPr>
              <w:keepNext/>
              <w:keepLines/>
              <w:autoSpaceDE w:val="0"/>
              <w:autoSpaceDN w:val="0"/>
              <w:adjustRightInd w:val="0"/>
              <w:spacing w:after="120"/>
              <w:rPr>
                <w:b/>
                <w:bCs/>
              </w:rPr>
            </w:pPr>
            <w:r w:rsidRPr="00DB5740">
              <w:rPr>
                <w:b/>
                <w:bCs/>
              </w:rPr>
              <w:lastRenderedPageBreak/>
              <w:t>Item 2.  Properties.</w:t>
            </w:r>
          </w:p>
        </w:tc>
      </w:tr>
      <w:tr w:rsidR="00000000" w14:paraId="0D3D99CA" w14:textId="77777777" w:rsidTr="00BF4090">
        <w:trPr>
          <w:cantSplit/>
          <w:jc w:val="center"/>
        </w:trPr>
        <w:tc>
          <w:tcPr>
            <w:tcW w:w="685" w:type="pct"/>
            <w:tcBorders>
              <w:bottom w:val="single" w:sz="4" w:space="0" w:color="auto"/>
            </w:tcBorders>
            <w:shd w:val="clear" w:color="auto" w:fill="FFFFFF"/>
          </w:tcPr>
          <w:p w14:paraId="79B5BFBE" w14:textId="77777777" w:rsidR="00771086" w:rsidRPr="00DB5740" w:rsidRDefault="005B5528" w:rsidP="00771086">
            <w:pPr>
              <w:autoSpaceDE w:val="0"/>
              <w:autoSpaceDN w:val="0"/>
              <w:adjustRightInd w:val="0"/>
            </w:pPr>
            <w:r w:rsidRPr="00DB5740">
              <w:t>Item 2. Properties</w:t>
            </w:r>
          </w:p>
        </w:tc>
        <w:tc>
          <w:tcPr>
            <w:tcW w:w="584" w:type="pct"/>
            <w:tcBorders>
              <w:bottom w:val="single" w:sz="4" w:space="0" w:color="auto"/>
            </w:tcBorders>
            <w:shd w:val="clear" w:color="auto" w:fill="FFFFFF"/>
          </w:tcPr>
          <w:p w14:paraId="4C89C49F" w14:textId="77777777" w:rsidR="00771086" w:rsidRPr="00DB5740" w:rsidRDefault="005B5528" w:rsidP="00771086">
            <w:pPr>
              <w:autoSpaceDE w:val="0"/>
              <w:autoSpaceDN w:val="0"/>
              <w:adjustRightInd w:val="0"/>
              <w:jc w:val="center"/>
            </w:pPr>
            <w:hyperlink r:id="rId96" w:anchor="229.102" w:history="1">
              <w:r w:rsidRPr="00DB5740">
                <w:rPr>
                  <w:rStyle w:val="Hyperlink"/>
                </w:rPr>
                <w:t>102</w:t>
              </w:r>
            </w:hyperlink>
          </w:p>
        </w:tc>
        <w:tc>
          <w:tcPr>
            <w:tcW w:w="1907" w:type="pct"/>
            <w:tcBorders>
              <w:bottom w:val="single" w:sz="4" w:space="0" w:color="auto"/>
            </w:tcBorders>
            <w:shd w:val="clear" w:color="auto" w:fill="FFFFFF"/>
          </w:tcPr>
          <w:p w14:paraId="5C48F77A" w14:textId="77777777" w:rsidR="00771086" w:rsidRPr="00215BB8" w:rsidRDefault="005B5528" w:rsidP="00771086">
            <w:pPr>
              <w:keepNext/>
              <w:keepLines/>
              <w:autoSpaceDE w:val="0"/>
              <w:autoSpaceDN w:val="0"/>
              <w:adjustRightInd w:val="0"/>
              <w:spacing w:after="120"/>
              <w:rPr>
                <w:i/>
                <w:iCs/>
              </w:rPr>
            </w:pPr>
            <w:r w:rsidRPr="00215BB8">
              <w:rPr>
                <w:i/>
                <w:iCs/>
              </w:rPr>
              <w:t>Confirm that the 10</w:t>
            </w:r>
            <w:r w:rsidRPr="00215BB8">
              <w:rPr>
                <w:i/>
                <w:iCs/>
              </w:rPr>
              <w:noBreakHyphen/>
              <w:t>K includes the following disclo</w:t>
            </w:r>
            <w:r w:rsidRPr="00215BB8">
              <w:rPr>
                <w:i/>
                <w:iCs/>
              </w:rPr>
              <w:t>sure:</w:t>
            </w:r>
          </w:p>
          <w:p w14:paraId="764AFCDA" w14:textId="77777777" w:rsidR="00771086" w:rsidRPr="00215BB8" w:rsidRDefault="005B5528" w:rsidP="00BF3B62">
            <w:pPr>
              <w:pStyle w:val="ListBullet"/>
            </w:pPr>
            <w:r w:rsidRPr="00215BB8">
              <w:t>the location and general character of the company</w:t>
            </w:r>
            <w:r>
              <w:t>’</w:t>
            </w:r>
            <w:r w:rsidRPr="00215BB8">
              <w:t>s principal physical properties;</w:t>
            </w:r>
          </w:p>
          <w:p w14:paraId="35D328DD" w14:textId="77777777" w:rsidR="00771086" w:rsidRPr="00215BB8" w:rsidRDefault="005B5528" w:rsidP="00BF3B62">
            <w:pPr>
              <w:pStyle w:val="ListBullet"/>
            </w:pPr>
            <w:r w:rsidRPr="00215BB8">
              <w:t>identifies the segment(s), as reported in the financial statements, that use the properties described; and</w:t>
            </w:r>
          </w:p>
          <w:p w14:paraId="00D36EE5" w14:textId="77777777" w:rsidR="00771086" w:rsidRPr="00215BB8" w:rsidRDefault="005B5528" w:rsidP="00BF3B62">
            <w:pPr>
              <w:pStyle w:val="ListBullet"/>
            </w:pPr>
            <w:r w:rsidRPr="00215BB8">
              <w:t>if the company does not own a fee interest in any property o</w:t>
            </w:r>
            <w:r w:rsidRPr="00215BB8">
              <w:t>r any property is subject to an encumbrance that is material to the company, identify the property and describe briefly how the company holds the property.</w:t>
            </w:r>
          </w:p>
          <w:p w14:paraId="4A51FB0B" w14:textId="77777777" w:rsidR="00771086" w:rsidRPr="00DB5740" w:rsidRDefault="005B5528" w:rsidP="00771086">
            <w:pPr>
              <w:keepNext/>
              <w:keepLines/>
              <w:autoSpaceDE w:val="0"/>
              <w:autoSpaceDN w:val="0"/>
              <w:adjustRightInd w:val="0"/>
              <w:spacing w:after="120"/>
            </w:pPr>
            <w:r w:rsidRPr="00DB5740">
              <w:t>Item 102 includes the following instructions:</w:t>
            </w:r>
          </w:p>
          <w:p w14:paraId="4618A326" w14:textId="77777777" w:rsidR="00771086" w:rsidRPr="00DB5740" w:rsidRDefault="005B5528" w:rsidP="00BF3B62">
            <w:pPr>
              <w:pStyle w:val="ListBullet"/>
            </w:pPr>
            <w:r w:rsidRPr="00DB5740">
              <w:t>disclosure should be limited to properties that are ma</w:t>
            </w:r>
            <w:r w:rsidRPr="00DB5740">
              <w:t>terial to the company;</w:t>
            </w:r>
          </w:p>
          <w:p w14:paraId="3A37B90E" w14:textId="77777777" w:rsidR="00771086" w:rsidRPr="00DB5740" w:rsidRDefault="005B5528" w:rsidP="00BF3B62">
            <w:pPr>
              <w:pStyle w:val="ListBullet"/>
            </w:pPr>
            <w:r w:rsidRPr="00DB5740">
              <w:t>the company should consider both quantitative and qualitative factors in evaluating materiality;</w:t>
            </w:r>
          </w:p>
          <w:p w14:paraId="06C3162C" w14:textId="77777777" w:rsidR="00771086" w:rsidRPr="00DB5740" w:rsidRDefault="005B5528" w:rsidP="00BF3B62">
            <w:pPr>
              <w:pStyle w:val="ListBullet"/>
            </w:pPr>
            <w:r w:rsidRPr="00DB5740">
              <w:t>property descriptions may be provided on a colle</w:t>
            </w:r>
            <w:r w:rsidRPr="00DB5740">
              <w:rPr>
                <w:szCs w:val="24"/>
              </w:rPr>
              <w:t>ctive basis, if appropriate; and</w:t>
            </w:r>
          </w:p>
          <w:p w14:paraId="05363F6C" w14:textId="77777777" w:rsidR="00771086" w:rsidRPr="00DB5740" w:rsidRDefault="005B5528" w:rsidP="00BF3B62">
            <w:pPr>
              <w:pStyle w:val="ListBullet"/>
            </w:pPr>
            <w:r w:rsidRPr="00DB5740">
              <w:t>companies engaged in mining operations, oil and gras pr</w:t>
            </w:r>
            <w:r w:rsidRPr="00DB5740">
              <w:t>oducing activities, or real estate activities are subject to additional disclosure requirements contained in the instructions to Item 102.</w:t>
            </w:r>
          </w:p>
        </w:tc>
        <w:tc>
          <w:tcPr>
            <w:tcW w:w="925" w:type="pct"/>
            <w:tcBorders>
              <w:bottom w:val="single" w:sz="4" w:space="0" w:color="auto"/>
            </w:tcBorders>
            <w:shd w:val="clear" w:color="auto" w:fill="FFFFFF"/>
          </w:tcPr>
          <w:p w14:paraId="0D2BD6DF" w14:textId="77777777" w:rsidR="00771086" w:rsidRPr="00DB5740" w:rsidRDefault="00771086" w:rsidP="00771086">
            <w:pPr>
              <w:autoSpaceDE w:val="0"/>
              <w:autoSpaceDN w:val="0"/>
              <w:adjustRightInd w:val="0"/>
              <w:spacing w:after="120"/>
            </w:pPr>
          </w:p>
        </w:tc>
        <w:tc>
          <w:tcPr>
            <w:tcW w:w="585" w:type="pct"/>
            <w:tcBorders>
              <w:bottom w:val="single" w:sz="4" w:space="0" w:color="auto"/>
            </w:tcBorders>
            <w:shd w:val="clear" w:color="auto" w:fill="FFFFFF"/>
          </w:tcPr>
          <w:p w14:paraId="65DEEB2C" w14:textId="77777777" w:rsidR="00771086" w:rsidRPr="00DB5740" w:rsidRDefault="00771086" w:rsidP="00771086">
            <w:pPr>
              <w:autoSpaceDE w:val="0"/>
              <w:autoSpaceDN w:val="0"/>
              <w:adjustRightInd w:val="0"/>
            </w:pPr>
          </w:p>
        </w:tc>
        <w:tc>
          <w:tcPr>
            <w:tcW w:w="314" w:type="pct"/>
            <w:gridSpan w:val="2"/>
            <w:tcBorders>
              <w:bottom w:val="single" w:sz="4" w:space="0" w:color="auto"/>
            </w:tcBorders>
            <w:shd w:val="clear" w:color="auto" w:fill="FFFFFF"/>
            <w:vAlign w:val="center"/>
          </w:tcPr>
          <w:p w14:paraId="33F0DFBC"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3AC40697"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5EDB1A63" w14:textId="77777777" w:rsidTr="00DB5740">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0F418013" w14:textId="77777777" w:rsidR="00771086" w:rsidRPr="00DB5740" w:rsidRDefault="005B5528" w:rsidP="00771086">
            <w:pPr>
              <w:keepNext/>
              <w:keepLines/>
              <w:autoSpaceDE w:val="0"/>
              <w:autoSpaceDN w:val="0"/>
              <w:adjustRightInd w:val="0"/>
              <w:spacing w:after="120"/>
              <w:rPr>
                <w:b/>
                <w:bCs/>
              </w:rPr>
            </w:pPr>
            <w:r w:rsidRPr="00DB5740">
              <w:rPr>
                <w:b/>
                <w:bCs/>
              </w:rPr>
              <w:lastRenderedPageBreak/>
              <w:t>Item 3.  Legal Proceedings.</w:t>
            </w:r>
          </w:p>
        </w:tc>
      </w:tr>
      <w:tr w:rsidR="00000000" w14:paraId="79FB2175"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16903EBB" w14:textId="77777777" w:rsidR="00771086" w:rsidRPr="00DB5740" w:rsidRDefault="005B5528" w:rsidP="00771086">
            <w:pPr>
              <w:autoSpaceDE w:val="0"/>
              <w:autoSpaceDN w:val="0"/>
              <w:adjustRightInd w:val="0"/>
              <w:rPr>
                <w:bCs/>
              </w:rPr>
            </w:pPr>
            <w:r w:rsidRPr="00DB5740">
              <w:rPr>
                <w:bCs/>
              </w:rPr>
              <w:t>Item 3. Legal Proceedings</w:t>
            </w:r>
          </w:p>
          <w:p w14:paraId="36C33B97" w14:textId="77777777" w:rsidR="00771086" w:rsidRPr="00DB5740" w:rsidRDefault="00771086" w:rsidP="00771086">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7AD1D769" w14:textId="77777777" w:rsidR="00771086" w:rsidRPr="00DB5740" w:rsidRDefault="005B5528" w:rsidP="00771086">
            <w:pPr>
              <w:autoSpaceDE w:val="0"/>
              <w:autoSpaceDN w:val="0"/>
              <w:adjustRightInd w:val="0"/>
              <w:jc w:val="center"/>
            </w:pPr>
            <w:hyperlink r:id="rId97" w:anchor="229.103" w:history="1">
              <w:r w:rsidRPr="00DB5740">
                <w:rPr>
                  <w:rStyle w:val="Hyperlink"/>
                </w:rPr>
                <w:t>1</w:t>
              </w:r>
              <w:bookmarkStart w:id="52" w:name="_Hlt93496751"/>
              <w:bookmarkStart w:id="53" w:name="_Hlt93496752"/>
              <w:r w:rsidRPr="00DB5740">
                <w:rPr>
                  <w:rStyle w:val="Hyperlink"/>
                </w:rPr>
                <w:t>0</w:t>
              </w:r>
              <w:bookmarkStart w:id="54" w:name="_Hlt93796569"/>
              <w:bookmarkStart w:id="55" w:name="_Hlt93796570"/>
              <w:bookmarkEnd w:id="52"/>
              <w:bookmarkEnd w:id="53"/>
              <w:r w:rsidRPr="00DB5740">
                <w:rPr>
                  <w:rStyle w:val="Hyperlink"/>
                </w:rPr>
                <w:t>3</w:t>
              </w:r>
              <w:bookmarkEnd w:id="54"/>
              <w:bookmarkEnd w:id="55"/>
            </w:hyperlink>
          </w:p>
        </w:tc>
        <w:tc>
          <w:tcPr>
            <w:tcW w:w="1907" w:type="pct"/>
            <w:tcBorders>
              <w:top w:val="single" w:sz="4" w:space="0" w:color="auto"/>
              <w:left w:val="single" w:sz="4" w:space="0" w:color="auto"/>
              <w:bottom w:val="single" w:sz="4" w:space="0" w:color="auto"/>
              <w:right w:val="single" w:sz="4" w:space="0" w:color="auto"/>
            </w:tcBorders>
          </w:tcPr>
          <w:p w14:paraId="5F41C2E4" w14:textId="77777777" w:rsidR="00771086" w:rsidRPr="00215BB8" w:rsidRDefault="005B5528" w:rsidP="00771086">
            <w:pPr>
              <w:keepNext/>
              <w:keepLines/>
              <w:autoSpaceDE w:val="0"/>
              <w:autoSpaceDN w:val="0"/>
              <w:adjustRightInd w:val="0"/>
              <w:spacing w:after="120"/>
              <w:rPr>
                <w:i/>
                <w:iCs/>
              </w:rPr>
            </w:pPr>
            <w:r w:rsidRPr="00215BB8">
              <w:rPr>
                <w:i/>
                <w:iCs/>
              </w:rPr>
              <w:t>Confirm that the Form 10</w:t>
            </w:r>
            <w:r w:rsidRPr="00215BB8">
              <w:rPr>
                <w:i/>
                <w:iCs/>
              </w:rPr>
              <w:noBreakHyphen/>
              <w:t>K includes a brief description of any material pending legal proceedings, other than ordinary routine litigation incidental to the business, to which the company or any of its subsidiar</w:t>
            </w:r>
            <w:r w:rsidRPr="00215BB8">
              <w:rPr>
                <w:i/>
                <w:iCs/>
              </w:rPr>
              <w:t>ies is a party or of which any of their property is the subject, including the disclosure specifically required by Item 103.</w:t>
            </w:r>
          </w:p>
          <w:p w14:paraId="78DE8675" w14:textId="77777777" w:rsidR="00771086" w:rsidRPr="00215BB8" w:rsidRDefault="005B5528" w:rsidP="00771086">
            <w:pPr>
              <w:autoSpaceDE w:val="0"/>
              <w:autoSpaceDN w:val="0"/>
              <w:adjustRightInd w:val="0"/>
              <w:spacing w:after="120"/>
              <w:rPr>
                <w:i/>
                <w:iCs/>
              </w:rPr>
            </w:pPr>
            <w:r w:rsidRPr="00215BB8">
              <w:rPr>
                <w:i/>
                <w:iCs/>
              </w:rPr>
              <w:t>If the company elects to comply with this disclosure requirement by hyperlink or cross-reference to MD&amp;A, Risk Factors or the notes</w:t>
            </w:r>
            <w:r w:rsidRPr="00215BB8">
              <w:rPr>
                <w:i/>
                <w:iCs/>
              </w:rPr>
              <w:t xml:space="preserve"> to the financial statements:</w:t>
            </w:r>
          </w:p>
          <w:p w14:paraId="0BD92A59" w14:textId="77777777" w:rsidR="00771086" w:rsidRPr="00215BB8" w:rsidRDefault="005B5528" w:rsidP="00BF3B62">
            <w:pPr>
              <w:pStyle w:val="ListBullet"/>
              <w:rPr>
                <w:szCs w:val="24"/>
              </w:rPr>
            </w:pPr>
            <w:r w:rsidRPr="00215BB8">
              <w:t>confirm that the cross-referenced disclosure complies with Item 103;</w:t>
            </w:r>
          </w:p>
          <w:p w14:paraId="253A44EB" w14:textId="77777777" w:rsidR="00771086" w:rsidRPr="00215BB8" w:rsidRDefault="005B5528" w:rsidP="00BF3B62">
            <w:pPr>
              <w:pStyle w:val="ListBullet"/>
            </w:pPr>
            <w:r w:rsidRPr="00215BB8">
              <w:t>confirm that disclosure of legal proceedings in addition to those described in the cross-referenced disclosure is not required or advisable; and</w:t>
            </w:r>
          </w:p>
          <w:p w14:paraId="4772A1C5" w14:textId="77777777" w:rsidR="00771086" w:rsidRPr="00215BB8" w:rsidRDefault="005B5528" w:rsidP="00BF3B62">
            <w:pPr>
              <w:pStyle w:val="ListBullet"/>
            </w:pPr>
            <w:r w:rsidRPr="00215BB8">
              <w:t>confirm that</w:t>
            </w:r>
            <w:r w:rsidRPr="00215BB8">
              <w:t xml:space="preserve"> Item 3 includes any appropriate cautionary disclosure about legal proceedings.</w:t>
            </w:r>
          </w:p>
          <w:p w14:paraId="13B4D777" w14:textId="77777777" w:rsidR="00771086" w:rsidRPr="00DB5740" w:rsidRDefault="005B5528" w:rsidP="00771086">
            <w:pPr>
              <w:keepNext/>
              <w:keepLines/>
              <w:autoSpaceDE w:val="0"/>
              <w:autoSpaceDN w:val="0"/>
              <w:adjustRightInd w:val="0"/>
              <w:spacing w:after="120"/>
            </w:pPr>
            <w:r w:rsidRPr="00215BB8">
              <w:rPr>
                <w:i/>
                <w:iCs/>
              </w:rPr>
              <w:t>Review the audit response letters sent by the company</w:t>
            </w:r>
            <w:r>
              <w:rPr>
                <w:i/>
                <w:iCs/>
              </w:rPr>
              <w:t>’</w:t>
            </w:r>
            <w:r w:rsidRPr="00215BB8">
              <w:rPr>
                <w:i/>
                <w:iCs/>
              </w:rPr>
              <w:t>s outside law firms and in-house counsel to the company</w:t>
            </w:r>
            <w:r>
              <w:rPr>
                <w:i/>
                <w:iCs/>
              </w:rPr>
              <w:t>’</w:t>
            </w:r>
            <w:r w:rsidRPr="00215BB8">
              <w:rPr>
                <w:i/>
                <w:iCs/>
              </w:rPr>
              <w:t xml:space="preserve">s auditor and confirm that no additional disclosure appears to be </w:t>
            </w:r>
            <w:r w:rsidRPr="00215BB8">
              <w:rPr>
                <w:i/>
                <w:iCs/>
              </w:rPr>
              <w:t xml:space="preserve">required in Item 3.               </w:t>
            </w:r>
            <w:r w:rsidRPr="00DB5740">
              <w:t xml:space="preserve">                                                   </w:t>
            </w:r>
          </w:p>
        </w:tc>
        <w:tc>
          <w:tcPr>
            <w:tcW w:w="925" w:type="pct"/>
            <w:tcBorders>
              <w:top w:val="single" w:sz="4" w:space="0" w:color="auto"/>
              <w:left w:val="single" w:sz="4" w:space="0" w:color="auto"/>
              <w:bottom w:val="single" w:sz="4" w:space="0" w:color="auto"/>
              <w:right w:val="single" w:sz="4" w:space="0" w:color="auto"/>
            </w:tcBorders>
          </w:tcPr>
          <w:p w14:paraId="1BBA9BFE" w14:textId="77777777" w:rsidR="00771086" w:rsidRPr="00DB5740" w:rsidRDefault="00771086" w:rsidP="00771086">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60FF15BF" w14:textId="77777777" w:rsidR="00771086" w:rsidRPr="00DB5740" w:rsidRDefault="00771086" w:rsidP="00771086">
            <w:pPr>
              <w:autoSpaceDE w:val="0"/>
              <w:autoSpaceDN w:val="0"/>
              <w:adjustRightInd w:val="0"/>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34F21C40"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47329140"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7CFB240A"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323F8435" w14:textId="77777777" w:rsidR="00771086" w:rsidRPr="00DB5740" w:rsidRDefault="00771086" w:rsidP="00771086">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49BFC516" w14:textId="77777777" w:rsidR="00771086" w:rsidRPr="00DB5740" w:rsidRDefault="00771086" w:rsidP="00771086">
            <w:pPr>
              <w:autoSpaceDE w:val="0"/>
              <w:autoSpaceDN w:val="0"/>
              <w:adjustRightInd w:val="0"/>
              <w:jc w:val="center"/>
            </w:pPr>
          </w:p>
        </w:tc>
        <w:tc>
          <w:tcPr>
            <w:tcW w:w="1907" w:type="pct"/>
            <w:tcBorders>
              <w:top w:val="single" w:sz="4" w:space="0" w:color="auto"/>
              <w:left w:val="single" w:sz="4" w:space="0" w:color="auto"/>
              <w:bottom w:val="single" w:sz="4" w:space="0" w:color="auto"/>
              <w:right w:val="single" w:sz="4" w:space="0" w:color="auto"/>
            </w:tcBorders>
          </w:tcPr>
          <w:p w14:paraId="5CF8C30B" w14:textId="77777777" w:rsidR="00771086" w:rsidRPr="00DB5740" w:rsidRDefault="005B5528" w:rsidP="00771086">
            <w:pPr>
              <w:autoSpaceDE w:val="0"/>
              <w:autoSpaceDN w:val="0"/>
              <w:adjustRightInd w:val="0"/>
              <w:spacing w:after="120"/>
            </w:pPr>
            <w:r w:rsidRPr="00DB5740">
              <w:t xml:space="preserve">Item 103 provides a disclosure threshold for governmental proceedings involving potential monetary sanctions of $300,000 or more.  </w:t>
            </w:r>
            <w:r>
              <w:t>This threshold is no l</w:t>
            </w:r>
            <w:r>
              <w:t xml:space="preserve">onger limited to environmental proceedings.  </w:t>
            </w:r>
            <w:r w:rsidRPr="00DB5740">
              <w:t>Item 103 permits a company to adopt a higher threshold, subject to the following conditions:</w:t>
            </w:r>
          </w:p>
          <w:p w14:paraId="4E5F65F8" w14:textId="77777777" w:rsidR="00771086" w:rsidRPr="00DB5740" w:rsidRDefault="005B5528" w:rsidP="00BF3B62">
            <w:pPr>
              <w:pStyle w:val="ListBullet"/>
            </w:pPr>
            <w:r w:rsidRPr="00DB5740">
              <w:t>the company must determine that the threshold is reasonably designed to result in disclosure of any such proceeding th</w:t>
            </w:r>
            <w:r w:rsidRPr="00DB5740">
              <w:t>at is material to the company</w:t>
            </w:r>
            <w:r>
              <w:t>’</w:t>
            </w:r>
            <w:r w:rsidRPr="00DB5740">
              <w:t>s business or financial condition;</w:t>
            </w:r>
          </w:p>
          <w:p w14:paraId="3CD7C74A" w14:textId="77777777" w:rsidR="00771086" w:rsidRPr="00DB5740" w:rsidRDefault="005B5528" w:rsidP="00BF3B62">
            <w:pPr>
              <w:pStyle w:val="ListBullet"/>
            </w:pPr>
            <w:r w:rsidRPr="00DB5740">
              <w:t xml:space="preserve">the company discloses the threshold in each Form </w:t>
            </w:r>
            <w:r>
              <w:t>10</w:t>
            </w:r>
            <w:r>
              <w:noBreakHyphen/>
              <w:t>K</w:t>
            </w:r>
            <w:r w:rsidRPr="00DB5740">
              <w:t xml:space="preserve"> and Form 10-Q report, including any changes in the threshold; and</w:t>
            </w:r>
          </w:p>
          <w:p w14:paraId="3D0546D0" w14:textId="77777777" w:rsidR="00771086" w:rsidRPr="00DB5740" w:rsidRDefault="005B5528" w:rsidP="00BF3B62">
            <w:pPr>
              <w:pStyle w:val="ListBullet"/>
            </w:pPr>
            <w:r w:rsidRPr="00DB5740">
              <w:t>the threshold does not exceed the lesser of $1 million or 1% of the com</w:t>
            </w:r>
            <w:r w:rsidRPr="00DB5740">
              <w:t>pany</w:t>
            </w:r>
            <w:r>
              <w:t>’</w:t>
            </w:r>
            <w:r w:rsidRPr="00DB5740">
              <w:t>s consolidated current assets.</w:t>
            </w:r>
          </w:p>
          <w:p w14:paraId="0E7A66BE" w14:textId="77777777" w:rsidR="00771086" w:rsidRPr="00DB5740" w:rsidRDefault="005B5528" w:rsidP="00771086">
            <w:pPr>
              <w:autoSpaceDE w:val="0"/>
              <w:autoSpaceDN w:val="0"/>
              <w:adjustRightInd w:val="0"/>
              <w:spacing w:after="120"/>
            </w:pPr>
            <w:r w:rsidRPr="00DB5740">
              <w:t>If the company has adopted the alternative disclosure threshold, confirm that the disclosure satisfies all of the conditions in Item 103.</w:t>
            </w:r>
          </w:p>
        </w:tc>
        <w:tc>
          <w:tcPr>
            <w:tcW w:w="925" w:type="pct"/>
            <w:tcBorders>
              <w:top w:val="single" w:sz="4" w:space="0" w:color="auto"/>
              <w:left w:val="single" w:sz="4" w:space="0" w:color="auto"/>
              <w:bottom w:val="single" w:sz="4" w:space="0" w:color="auto"/>
              <w:right w:val="single" w:sz="4" w:space="0" w:color="auto"/>
            </w:tcBorders>
          </w:tcPr>
          <w:p w14:paraId="08C43DF3" w14:textId="77777777" w:rsidR="00771086" w:rsidRPr="00DB5740" w:rsidRDefault="00771086" w:rsidP="00771086">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6B894C38" w14:textId="77777777" w:rsidR="00771086" w:rsidRPr="00DB5740" w:rsidRDefault="00771086" w:rsidP="00771086">
            <w:pPr>
              <w:autoSpaceDE w:val="0"/>
              <w:autoSpaceDN w:val="0"/>
              <w:adjustRightInd w:val="0"/>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D3E0259"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1EECC981" w14:textId="77777777" w:rsidR="00771086" w:rsidRPr="00DB5740" w:rsidRDefault="005B5528" w:rsidP="00771086">
            <w:pPr>
              <w:jc w:val="center"/>
            </w:pPr>
            <w:r w:rsidRPr="00DB5740">
              <w:t xml:space="preserve">No  </w:t>
            </w:r>
            <w:r w:rsidRPr="00DB5740">
              <w:rPr>
                <w:rFonts w:ascii="Segoe UI Symbol" w:eastAsia="MS Gothic" w:hAnsi="Segoe UI Symbol" w:cs="Segoe UI Symbol"/>
              </w:rPr>
              <w:t>☐</w:t>
            </w:r>
          </w:p>
        </w:tc>
      </w:tr>
      <w:tr w:rsidR="00000000" w14:paraId="350420D1"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49A28D17" w14:textId="77777777" w:rsidR="00771086" w:rsidRPr="00DB5740" w:rsidRDefault="00771086" w:rsidP="00771086">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7C0B9620" w14:textId="77777777" w:rsidR="00771086" w:rsidRPr="00DB5740" w:rsidRDefault="005B5528" w:rsidP="00771086">
            <w:pPr>
              <w:autoSpaceDE w:val="0"/>
              <w:autoSpaceDN w:val="0"/>
              <w:adjustRightInd w:val="0"/>
              <w:jc w:val="center"/>
            </w:pPr>
            <w:r w:rsidRPr="00DB5740">
              <w:t xml:space="preserve">Form </w:t>
            </w:r>
            <w:r>
              <w:t>10</w:t>
            </w:r>
            <w:r>
              <w:noBreakHyphen/>
              <w:t>K</w:t>
            </w:r>
            <w:r w:rsidRPr="00DB5740">
              <w:t>, Item 3(b)</w:t>
            </w:r>
          </w:p>
        </w:tc>
        <w:tc>
          <w:tcPr>
            <w:tcW w:w="1907" w:type="pct"/>
            <w:tcBorders>
              <w:top w:val="single" w:sz="4" w:space="0" w:color="auto"/>
              <w:left w:val="single" w:sz="4" w:space="0" w:color="auto"/>
              <w:bottom w:val="single" w:sz="4" w:space="0" w:color="auto"/>
              <w:right w:val="single" w:sz="4" w:space="0" w:color="auto"/>
            </w:tcBorders>
          </w:tcPr>
          <w:p w14:paraId="638B439B" w14:textId="77777777" w:rsidR="00771086" w:rsidRPr="00DB5740" w:rsidRDefault="005B5528" w:rsidP="00771086">
            <w:pPr>
              <w:autoSpaceDE w:val="0"/>
              <w:autoSpaceDN w:val="0"/>
              <w:adjustRightInd w:val="0"/>
              <w:spacing w:after="120"/>
            </w:pPr>
            <w:r w:rsidRPr="00DB5740">
              <w:t xml:space="preserve">Confirm that </w:t>
            </w:r>
            <w:r>
              <w:t xml:space="preserve">the </w:t>
            </w:r>
            <w:r w:rsidRPr="00DB5740">
              <w:t>Legal Proceedings</w:t>
            </w:r>
            <w:r>
              <w:t xml:space="preserve"> section</w:t>
            </w:r>
            <w:r w:rsidRPr="00DB5740">
              <w:t xml:space="preserve"> in</w:t>
            </w:r>
            <w:r w:rsidRPr="00DB5740">
              <w:t xml:space="preserve">cludes disclosure similar to that required by Item 103 with respect to any proceeding that was terminated during the fourth quarter of the fiscal year covered by the Form </w:t>
            </w:r>
            <w:r>
              <w:t>10</w:t>
            </w:r>
            <w:r>
              <w:noBreakHyphen/>
              <w:t>K</w:t>
            </w:r>
            <w:r w:rsidRPr="00DB5740">
              <w:t>, including the date of termination and a description of the disposition of the p</w:t>
            </w:r>
            <w:r w:rsidRPr="00DB5740">
              <w:t>roceeding with respect to the company and its subsidiaries.</w:t>
            </w:r>
          </w:p>
        </w:tc>
        <w:tc>
          <w:tcPr>
            <w:tcW w:w="925" w:type="pct"/>
            <w:tcBorders>
              <w:top w:val="single" w:sz="4" w:space="0" w:color="auto"/>
              <w:left w:val="single" w:sz="4" w:space="0" w:color="auto"/>
              <w:bottom w:val="single" w:sz="4" w:space="0" w:color="auto"/>
              <w:right w:val="single" w:sz="4" w:space="0" w:color="auto"/>
            </w:tcBorders>
          </w:tcPr>
          <w:p w14:paraId="70AD866B" w14:textId="77777777" w:rsidR="00771086" w:rsidRPr="00DB5740" w:rsidRDefault="00771086" w:rsidP="00771086">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4C0AB367" w14:textId="77777777" w:rsidR="00771086" w:rsidRPr="00DB5740" w:rsidRDefault="00771086" w:rsidP="00771086">
            <w:pPr>
              <w:autoSpaceDE w:val="0"/>
              <w:autoSpaceDN w:val="0"/>
              <w:adjustRightInd w:val="0"/>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51914C0F"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4E1FCCE4"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6E918419"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7A6BD188" w14:textId="77777777" w:rsidR="00771086" w:rsidRPr="00DB5740" w:rsidRDefault="005B5528" w:rsidP="00771086">
            <w:pPr>
              <w:autoSpaceDE w:val="0"/>
              <w:autoSpaceDN w:val="0"/>
              <w:adjustRightInd w:val="0"/>
              <w:rPr>
                <w:bCs/>
                <w:i/>
                <w:iCs/>
                <w:color w:val="FF0000"/>
              </w:rPr>
            </w:pPr>
            <w:r w:rsidRPr="00DB5740">
              <w:lastRenderedPageBreak/>
              <w:t>[Disclosure of federal income tax penalty demands – no location specified]</w:t>
            </w:r>
          </w:p>
        </w:tc>
        <w:tc>
          <w:tcPr>
            <w:tcW w:w="584" w:type="pct"/>
            <w:tcBorders>
              <w:top w:val="single" w:sz="4" w:space="0" w:color="auto"/>
              <w:left w:val="single" w:sz="4" w:space="0" w:color="auto"/>
              <w:bottom w:val="single" w:sz="4" w:space="0" w:color="auto"/>
              <w:right w:val="single" w:sz="4" w:space="0" w:color="auto"/>
            </w:tcBorders>
          </w:tcPr>
          <w:p w14:paraId="155245EB" w14:textId="77777777" w:rsidR="00771086" w:rsidRPr="00DB5740" w:rsidRDefault="005B5528" w:rsidP="00771086">
            <w:pPr>
              <w:autoSpaceDE w:val="0"/>
              <w:autoSpaceDN w:val="0"/>
              <w:adjustRightInd w:val="0"/>
              <w:jc w:val="center"/>
            </w:pPr>
            <w:r w:rsidRPr="00DB5740">
              <w:t>Form </w:t>
            </w:r>
            <w:r>
              <w:t>10</w:t>
            </w:r>
            <w:r>
              <w:noBreakHyphen/>
              <w:t>K</w:t>
            </w:r>
          </w:p>
        </w:tc>
        <w:tc>
          <w:tcPr>
            <w:tcW w:w="1907" w:type="pct"/>
            <w:tcBorders>
              <w:top w:val="single" w:sz="4" w:space="0" w:color="auto"/>
              <w:left w:val="single" w:sz="4" w:space="0" w:color="auto"/>
              <w:bottom w:val="single" w:sz="4" w:space="0" w:color="auto"/>
              <w:right w:val="single" w:sz="4" w:space="0" w:color="auto"/>
            </w:tcBorders>
          </w:tcPr>
          <w:p w14:paraId="1051176C" w14:textId="77777777" w:rsidR="00771086" w:rsidRPr="00DB5740" w:rsidRDefault="005B5528" w:rsidP="00771086">
            <w:pPr>
              <w:autoSpaceDE w:val="0"/>
              <w:autoSpaceDN w:val="0"/>
              <w:adjustRightInd w:val="0"/>
              <w:spacing w:after="120"/>
            </w:pPr>
            <w:r w:rsidRPr="00DB5740">
              <w:t>Determine whether IRS Revenue Procedure 2005-51 and Section 6707A(e) of the Internal Revenue Cod</w:t>
            </w:r>
            <w:r w:rsidRPr="00DB5740">
              <w:t>e will require the company to disclose any IRS demand for payment of certain penalties related to tax-avoidance transactions under I.R.C. Sections 6662(h), 6662A, or 6707A.</w:t>
            </w:r>
          </w:p>
          <w:p w14:paraId="11FC55EA" w14:textId="77777777" w:rsidR="00771086" w:rsidRPr="00DB5740" w:rsidRDefault="005B5528" w:rsidP="00771086">
            <w:pPr>
              <w:autoSpaceDE w:val="0"/>
              <w:autoSpaceDN w:val="0"/>
              <w:adjustRightInd w:val="0"/>
              <w:spacing w:after="120"/>
              <w:rPr>
                <w:b/>
              </w:rPr>
            </w:pPr>
            <w:r w:rsidRPr="00DB5740">
              <w:rPr>
                <w:b/>
              </w:rPr>
              <w:t xml:space="preserve">Note that Section 6707A(e) provides for a $200,000 penalty for failure to disclose </w:t>
            </w:r>
            <w:r w:rsidRPr="00DB5740">
              <w:rPr>
                <w:b/>
              </w:rPr>
              <w:t>any required information in the company</w:t>
            </w:r>
            <w:r>
              <w:rPr>
                <w:b/>
              </w:rPr>
              <w:t>’</w:t>
            </w:r>
            <w:r w:rsidRPr="00DB5740">
              <w:rPr>
                <w:b/>
              </w:rPr>
              <w:t>s Form </w:t>
            </w:r>
            <w:r>
              <w:rPr>
                <w:b/>
              </w:rPr>
              <w:t>10</w:t>
            </w:r>
            <w:r>
              <w:rPr>
                <w:b/>
              </w:rPr>
              <w:noBreakHyphen/>
              <w:t>K</w:t>
            </w:r>
            <w:r w:rsidRPr="00DB5740">
              <w:rPr>
                <w:b/>
              </w:rPr>
              <w:t>.</w:t>
            </w:r>
          </w:p>
          <w:p w14:paraId="1878B705" w14:textId="77777777" w:rsidR="00771086" w:rsidRPr="00DB5740" w:rsidRDefault="005B5528" w:rsidP="00771086">
            <w:pPr>
              <w:autoSpaceDE w:val="0"/>
              <w:autoSpaceDN w:val="0"/>
              <w:adjustRightInd w:val="0"/>
              <w:spacing w:after="120"/>
            </w:pPr>
            <w:r w:rsidRPr="00DB5740">
              <w:t>For additional information see Rev. Proc. 2005-51, published in Internal Revenue Bulletin 2005-33 (August 15, 2005):</w:t>
            </w:r>
          </w:p>
          <w:p w14:paraId="6A11F974" w14:textId="77777777" w:rsidR="00771086" w:rsidRPr="00DB5740" w:rsidRDefault="005B5528" w:rsidP="00771086">
            <w:pPr>
              <w:autoSpaceDE w:val="0"/>
              <w:autoSpaceDN w:val="0"/>
              <w:adjustRightInd w:val="0"/>
              <w:spacing w:after="120"/>
            </w:pPr>
            <w:hyperlink r:id="rId98" w:history="1">
              <w:r>
                <w:rPr>
                  <w:rStyle w:val="Hyperlink"/>
                </w:rPr>
                <w:t>Internal Revenue Bulletin</w:t>
              </w:r>
              <w:r>
                <w:rPr>
                  <w:rStyle w:val="Hyperlink"/>
                </w:rPr>
                <w:t xml:space="preserve"> 2005-33</w:t>
              </w:r>
            </w:hyperlink>
            <w:r w:rsidRPr="00DB5740">
              <w:t xml:space="preserve"> </w:t>
            </w:r>
          </w:p>
          <w:p w14:paraId="4E9BD1A6" w14:textId="77777777" w:rsidR="00771086" w:rsidRPr="00DB5740" w:rsidRDefault="005B5528" w:rsidP="00771086">
            <w:pPr>
              <w:autoSpaceDE w:val="0"/>
              <w:autoSpaceDN w:val="0"/>
              <w:adjustRightInd w:val="0"/>
              <w:spacing w:after="120"/>
            </w:pPr>
            <w:r w:rsidRPr="00DB5740">
              <w:t>or</w:t>
            </w:r>
          </w:p>
          <w:p w14:paraId="4AC6A678" w14:textId="77777777" w:rsidR="00771086" w:rsidRPr="00DB5740" w:rsidRDefault="005B5528" w:rsidP="00771086">
            <w:pPr>
              <w:autoSpaceDE w:val="0"/>
              <w:autoSpaceDN w:val="0"/>
              <w:adjustRightInd w:val="0"/>
              <w:spacing w:after="120"/>
            </w:pPr>
            <w:hyperlink r:id="rId99" w:history="1">
              <w:r>
                <w:rPr>
                  <w:rStyle w:val="Hyperlink"/>
                </w:rPr>
                <w:t>Internal Revenue Bulletin 2005-33 (pdf)</w:t>
              </w:r>
            </w:hyperlink>
            <w:r w:rsidRPr="00DB5740">
              <w:t xml:space="preserve"> </w:t>
            </w:r>
          </w:p>
        </w:tc>
        <w:tc>
          <w:tcPr>
            <w:tcW w:w="925" w:type="pct"/>
            <w:tcBorders>
              <w:top w:val="single" w:sz="4" w:space="0" w:color="auto"/>
              <w:left w:val="single" w:sz="4" w:space="0" w:color="auto"/>
              <w:bottom w:val="single" w:sz="4" w:space="0" w:color="auto"/>
              <w:right w:val="single" w:sz="4" w:space="0" w:color="auto"/>
            </w:tcBorders>
          </w:tcPr>
          <w:p w14:paraId="41ED2947" w14:textId="77777777" w:rsidR="00771086" w:rsidRPr="00DB5740" w:rsidRDefault="00771086" w:rsidP="00771086">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425560E9" w14:textId="77777777" w:rsidR="00771086" w:rsidRPr="00DB5740" w:rsidRDefault="00771086" w:rsidP="00771086">
            <w:pPr>
              <w:autoSpaceDE w:val="0"/>
              <w:autoSpaceDN w:val="0"/>
              <w:adjustRightInd w:val="0"/>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6073957F"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4D3B1495"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25C33A23" w14:textId="77777777" w:rsidTr="00DB5740">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5F85A978" w14:textId="77777777" w:rsidR="00771086" w:rsidRPr="00DB5740" w:rsidRDefault="005B5528" w:rsidP="00771086">
            <w:pPr>
              <w:keepNext/>
              <w:keepLines/>
              <w:autoSpaceDE w:val="0"/>
              <w:autoSpaceDN w:val="0"/>
              <w:adjustRightInd w:val="0"/>
              <w:spacing w:after="120"/>
              <w:rPr>
                <w:b/>
                <w:bCs/>
              </w:rPr>
            </w:pPr>
            <w:r w:rsidRPr="00DB5740">
              <w:rPr>
                <w:b/>
                <w:bCs/>
              </w:rPr>
              <w:lastRenderedPageBreak/>
              <w:t>Item 4. Mine Safety Disclosures.</w:t>
            </w:r>
          </w:p>
        </w:tc>
      </w:tr>
      <w:tr w:rsidR="00000000" w14:paraId="70BCA814" w14:textId="77777777" w:rsidTr="00BF4090">
        <w:trPr>
          <w:cantSplit/>
          <w:jc w:val="center"/>
        </w:trPr>
        <w:tc>
          <w:tcPr>
            <w:tcW w:w="685" w:type="pct"/>
            <w:tcBorders>
              <w:top w:val="single" w:sz="4" w:space="0" w:color="auto"/>
              <w:left w:val="single" w:sz="4" w:space="0" w:color="auto"/>
              <w:bottom w:val="single" w:sz="24" w:space="0" w:color="auto"/>
              <w:right w:val="single" w:sz="4" w:space="0" w:color="auto"/>
            </w:tcBorders>
            <w:shd w:val="clear" w:color="auto" w:fill="auto"/>
          </w:tcPr>
          <w:p w14:paraId="4D9A0683" w14:textId="77777777" w:rsidR="00771086" w:rsidRPr="00DB5740" w:rsidRDefault="005B5528" w:rsidP="00771086">
            <w:pPr>
              <w:autoSpaceDE w:val="0"/>
              <w:autoSpaceDN w:val="0"/>
              <w:adjustRightInd w:val="0"/>
              <w:rPr>
                <w:szCs w:val="24"/>
              </w:rPr>
            </w:pPr>
            <w:r w:rsidRPr="00DB5740">
              <w:rPr>
                <w:szCs w:val="24"/>
              </w:rPr>
              <w:t>Item 4. Mine Safety Disclosures</w:t>
            </w:r>
          </w:p>
          <w:p w14:paraId="28F8B977" w14:textId="77777777" w:rsidR="00771086" w:rsidRPr="00DB5740" w:rsidRDefault="00771086" w:rsidP="00771086">
            <w:pPr>
              <w:autoSpaceDE w:val="0"/>
              <w:autoSpaceDN w:val="0"/>
              <w:adjustRightInd w:val="0"/>
              <w:rPr>
                <w:szCs w:val="24"/>
              </w:rPr>
            </w:pPr>
          </w:p>
          <w:p w14:paraId="68EFD6F4" w14:textId="77777777" w:rsidR="00771086" w:rsidRPr="00DB5740" w:rsidRDefault="005B5528" w:rsidP="00771086">
            <w:pPr>
              <w:autoSpaceDE w:val="0"/>
              <w:autoSpaceDN w:val="0"/>
              <w:adjustRightInd w:val="0"/>
              <w:rPr>
                <w:szCs w:val="24"/>
              </w:rPr>
            </w:pPr>
            <w:r w:rsidRPr="00DB5740">
              <w:rPr>
                <w:szCs w:val="24"/>
              </w:rPr>
              <w:t>See Part III, Item 15 for exhibit filing requirements app</w:t>
            </w:r>
            <w:r w:rsidRPr="00DB5740">
              <w:rPr>
                <w:szCs w:val="24"/>
              </w:rPr>
              <w:t>licable to min</w:t>
            </w:r>
            <w:r>
              <w:rPr>
                <w:szCs w:val="24"/>
              </w:rPr>
              <w:t>ing</w:t>
            </w:r>
            <w:r w:rsidRPr="00DB5740">
              <w:rPr>
                <w:szCs w:val="24"/>
              </w:rPr>
              <w:t xml:space="preserve"> operators</w:t>
            </w:r>
          </w:p>
        </w:tc>
        <w:tc>
          <w:tcPr>
            <w:tcW w:w="584" w:type="pct"/>
            <w:tcBorders>
              <w:top w:val="single" w:sz="4" w:space="0" w:color="auto"/>
              <w:left w:val="single" w:sz="4" w:space="0" w:color="auto"/>
              <w:bottom w:val="single" w:sz="24" w:space="0" w:color="auto"/>
              <w:right w:val="single" w:sz="4" w:space="0" w:color="auto"/>
            </w:tcBorders>
            <w:shd w:val="clear" w:color="auto" w:fill="auto"/>
          </w:tcPr>
          <w:p w14:paraId="54164ED8" w14:textId="77777777" w:rsidR="00771086" w:rsidRPr="00DB5740" w:rsidRDefault="005B5528" w:rsidP="00771086">
            <w:pPr>
              <w:autoSpaceDE w:val="0"/>
              <w:autoSpaceDN w:val="0"/>
              <w:adjustRightInd w:val="0"/>
              <w:jc w:val="center"/>
              <w:rPr>
                <w:szCs w:val="24"/>
              </w:rPr>
            </w:pPr>
            <w:r w:rsidRPr="00DB5740">
              <w:rPr>
                <w:szCs w:val="24"/>
              </w:rPr>
              <w:t>Form </w:t>
            </w:r>
            <w:r>
              <w:rPr>
                <w:szCs w:val="24"/>
              </w:rPr>
              <w:t>10</w:t>
            </w:r>
            <w:r>
              <w:rPr>
                <w:szCs w:val="24"/>
              </w:rPr>
              <w:noBreakHyphen/>
              <w:t>K</w:t>
            </w:r>
            <w:r w:rsidRPr="00DB5740">
              <w:rPr>
                <w:szCs w:val="24"/>
              </w:rPr>
              <w:t xml:space="preserve"> Item 4;</w:t>
            </w:r>
            <w:r w:rsidRPr="00DB5740">
              <w:rPr>
                <w:szCs w:val="24"/>
              </w:rPr>
              <w:br/>
            </w:r>
            <w:hyperlink r:id="rId100" w:anchor="229.104" w:history="1">
              <w:r w:rsidRPr="00DB5740">
                <w:rPr>
                  <w:rStyle w:val="Hyperlink"/>
                  <w:szCs w:val="24"/>
                </w:rPr>
                <w:t>10</w:t>
              </w:r>
              <w:bookmarkStart w:id="56" w:name="_Hlt94001171"/>
              <w:bookmarkEnd w:id="56"/>
              <w:r w:rsidRPr="00DB5740">
                <w:rPr>
                  <w:rStyle w:val="Hyperlink"/>
                  <w:szCs w:val="24"/>
                </w:rPr>
                <w:t>4</w:t>
              </w:r>
            </w:hyperlink>
          </w:p>
        </w:tc>
        <w:tc>
          <w:tcPr>
            <w:tcW w:w="1907" w:type="pct"/>
            <w:tcBorders>
              <w:top w:val="single" w:sz="4" w:space="0" w:color="auto"/>
              <w:left w:val="single" w:sz="4" w:space="0" w:color="auto"/>
              <w:bottom w:val="single" w:sz="24" w:space="0" w:color="auto"/>
              <w:right w:val="single" w:sz="4" w:space="0" w:color="auto"/>
            </w:tcBorders>
            <w:shd w:val="clear" w:color="auto" w:fill="auto"/>
          </w:tcPr>
          <w:p w14:paraId="76DB8623" w14:textId="77777777" w:rsidR="00771086" w:rsidRPr="00DB5740" w:rsidRDefault="005B5528" w:rsidP="00771086">
            <w:pPr>
              <w:keepNext/>
              <w:keepLines/>
              <w:autoSpaceDE w:val="0"/>
              <w:autoSpaceDN w:val="0"/>
              <w:adjustRightInd w:val="0"/>
              <w:spacing w:after="120"/>
              <w:rPr>
                <w:szCs w:val="24"/>
              </w:rPr>
            </w:pPr>
            <w:r w:rsidRPr="00DB5740">
              <w:rPr>
                <w:szCs w:val="24"/>
              </w:rPr>
              <w:t xml:space="preserve">Confirm that the Form </w:t>
            </w:r>
            <w:r>
              <w:rPr>
                <w:szCs w:val="24"/>
              </w:rPr>
              <w:t>10</w:t>
            </w:r>
            <w:r>
              <w:rPr>
                <w:szCs w:val="24"/>
              </w:rPr>
              <w:noBreakHyphen/>
              <w:t>K</w:t>
            </w:r>
            <w:r w:rsidRPr="00DB5740">
              <w:rPr>
                <w:szCs w:val="24"/>
              </w:rPr>
              <w:t xml:space="preserve"> includes a statement that the information concerning mine safety violations or other regula</w:t>
            </w:r>
            <w:r w:rsidRPr="00DB5740">
              <w:rPr>
                <w:szCs w:val="24"/>
              </w:rPr>
              <w:t xml:space="preserve">tory matters required by Item 4 is included in Exhibit 95 to the Form </w:t>
            </w:r>
            <w:r>
              <w:rPr>
                <w:szCs w:val="24"/>
              </w:rPr>
              <w:t>10</w:t>
            </w:r>
            <w:r>
              <w:rPr>
                <w:szCs w:val="24"/>
              </w:rPr>
              <w:noBreakHyphen/>
              <w:t>K</w:t>
            </w:r>
            <w:r w:rsidRPr="00DB5740">
              <w:rPr>
                <w:szCs w:val="24"/>
              </w:rPr>
              <w:t>, if applicable.</w:t>
            </w:r>
          </w:p>
          <w:p w14:paraId="5EB5EC77" w14:textId="77777777" w:rsidR="00771086" w:rsidRPr="00DB5740" w:rsidRDefault="005B5528" w:rsidP="00771086">
            <w:pPr>
              <w:keepNext/>
              <w:keepLines/>
              <w:autoSpaceDE w:val="0"/>
              <w:autoSpaceDN w:val="0"/>
              <w:adjustRightInd w:val="0"/>
              <w:spacing w:after="120"/>
              <w:rPr>
                <w:szCs w:val="24"/>
              </w:rPr>
            </w:pPr>
            <w:r w:rsidRPr="00DB5740">
              <w:rPr>
                <w:szCs w:val="24"/>
              </w:rPr>
              <w:t>In general terms, Item 4 applies to a company that is an operator (or has a subsidiary that is an operator) of a coal or other mine covered by the Federal Mine Safet</w:t>
            </w:r>
            <w:r w:rsidRPr="00DB5740">
              <w:rPr>
                <w:szCs w:val="24"/>
              </w:rPr>
              <w:t>y and Health Act of 1977.</w:t>
            </w:r>
          </w:p>
          <w:p w14:paraId="043D85E6" w14:textId="77777777" w:rsidR="00771086" w:rsidRPr="00DB5740" w:rsidRDefault="005B5528" w:rsidP="00771086">
            <w:pPr>
              <w:keepNext/>
              <w:keepLines/>
              <w:autoSpaceDE w:val="0"/>
              <w:autoSpaceDN w:val="0"/>
              <w:adjustRightInd w:val="0"/>
              <w:spacing w:after="120"/>
              <w:rPr>
                <w:szCs w:val="24"/>
              </w:rPr>
            </w:pPr>
            <w:r w:rsidRPr="00DB5740">
              <w:rPr>
                <w:szCs w:val="24"/>
              </w:rPr>
              <w:t>If applicable, companies subject to this disclosure requirement must provide information concerning specified health and safety violations, orders and citations, related assessments and legal actions, and mining-related fatalities</w:t>
            </w:r>
            <w:r w:rsidRPr="00DB5740">
              <w:rPr>
                <w:szCs w:val="24"/>
              </w:rPr>
              <w:t>.  If applicable, the substantive disclosure requirements for these items within the body of the relevant report consist of a statement that the disclosures required under Section 1503 of the Dodd-Frank Act and Item 104 of Regulation S-K are included as an</w:t>
            </w:r>
            <w:r w:rsidRPr="00DB5740">
              <w:rPr>
                <w:szCs w:val="24"/>
              </w:rPr>
              <w:t xml:space="preserve"> exhibit to the report. </w:t>
            </w:r>
          </w:p>
          <w:p w14:paraId="474674EA" w14:textId="77777777" w:rsidR="00771086" w:rsidRPr="00DB5740" w:rsidRDefault="005B5528" w:rsidP="00771086">
            <w:pPr>
              <w:keepNext/>
              <w:keepLines/>
              <w:autoSpaceDE w:val="0"/>
              <w:autoSpaceDN w:val="0"/>
              <w:adjustRightInd w:val="0"/>
              <w:spacing w:after="120"/>
              <w:rPr>
                <w:szCs w:val="24"/>
              </w:rPr>
            </w:pPr>
            <w:r w:rsidRPr="00DB5740">
              <w:rPr>
                <w:szCs w:val="24"/>
              </w:rPr>
              <w:t xml:space="preserve">If not applicable, confirm that Item 4 states </w:t>
            </w:r>
            <w:r>
              <w:rPr>
                <w:szCs w:val="24"/>
              </w:rPr>
              <w:t>“</w:t>
            </w:r>
            <w:r w:rsidRPr="00DB5740">
              <w:rPr>
                <w:szCs w:val="24"/>
              </w:rPr>
              <w:t>Not applicable.</w:t>
            </w:r>
            <w:r>
              <w:rPr>
                <w:szCs w:val="24"/>
              </w:rPr>
              <w:t>”</w:t>
            </w:r>
          </w:p>
        </w:tc>
        <w:tc>
          <w:tcPr>
            <w:tcW w:w="925" w:type="pct"/>
            <w:tcBorders>
              <w:top w:val="single" w:sz="4" w:space="0" w:color="auto"/>
              <w:left w:val="single" w:sz="4" w:space="0" w:color="auto"/>
              <w:bottom w:val="single" w:sz="24" w:space="0" w:color="auto"/>
              <w:right w:val="single" w:sz="4" w:space="0" w:color="auto"/>
            </w:tcBorders>
            <w:shd w:val="clear" w:color="auto" w:fill="auto"/>
          </w:tcPr>
          <w:p w14:paraId="74FFFCDC" w14:textId="77777777" w:rsidR="00771086" w:rsidRPr="00DB5740" w:rsidRDefault="005B5528" w:rsidP="00771086">
            <w:pPr>
              <w:autoSpaceDE w:val="0"/>
              <w:autoSpaceDN w:val="0"/>
              <w:adjustRightInd w:val="0"/>
              <w:spacing w:after="120"/>
              <w:rPr>
                <w:szCs w:val="24"/>
              </w:rPr>
            </w:pPr>
            <w:r w:rsidRPr="00DB5740">
              <w:rPr>
                <w:szCs w:val="24"/>
              </w:rPr>
              <w:t>Companies that are subject to these reporting requirements should be aware of related amendments to Form 8-K that require current reporting of specified related events</w:t>
            </w:r>
            <w:r w:rsidRPr="00DB5740">
              <w:rPr>
                <w:szCs w:val="24"/>
              </w:rPr>
              <w:t>, which are not summarized here.  The full text of the adopting release</w:t>
            </w:r>
            <w:r>
              <w:rPr>
                <w:szCs w:val="24"/>
              </w:rPr>
              <w:t xml:space="preserve">, </w:t>
            </w:r>
            <w:hyperlink r:id="rId101" w:history="1">
              <w:r w:rsidRPr="00901981">
                <w:rPr>
                  <w:rStyle w:val="Hyperlink"/>
                  <w:szCs w:val="24"/>
                </w:rPr>
                <w:t>Mine Safety Disclosure</w:t>
              </w:r>
            </w:hyperlink>
            <w:r>
              <w:rPr>
                <w:szCs w:val="24"/>
              </w:rPr>
              <w:t xml:space="preserve"> (Release Nos. 33-9286; 34-66019)</w:t>
            </w:r>
            <w:r w:rsidRPr="00DB5740">
              <w:rPr>
                <w:szCs w:val="24"/>
              </w:rPr>
              <w:t xml:space="preserve"> is available on the SEC website.</w:t>
            </w:r>
          </w:p>
        </w:tc>
        <w:tc>
          <w:tcPr>
            <w:tcW w:w="585" w:type="pct"/>
            <w:tcBorders>
              <w:top w:val="single" w:sz="4" w:space="0" w:color="auto"/>
              <w:left w:val="single" w:sz="4" w:space="0" w:color="auto"/>
              <w:bottom w:val="single" w:sz="24" w:space="0" w:color="auto"/>
              <w:right w:val="single" w:sz="4" w:space="0" w:color="auto"/>
            </w:tcBorders>
            <w:shd w:val="clear" w:color="auto" w:fill="auto"/>
          </w:tcPr>
          <w:p w14:paraId="1B948B8B" w14:textId="77777777" w:rsidR="00771086" w:rsidRPr="00DB5740" w:rsidRDefault="00771086" w:rsidP="00771086">
            <w:pPr>
              <w:autoSpaceDE w:val="0"/>
              <w:autoSpaceDN w:val="0"/>
              <w:adjustRightInd w:val="0"/>
              <w:rPr>
                <w:sz w:val="20"/>
              </w:rPr>
            </w:pPr>
          </w:p>
        </w:tc>
        <w:tc>
          <w:tcPr>
            <w:tcW w:w="314" w:type="pct"/>
            <w:gridSpan w:val="2"/>
            <w:tcBorders>
              <w:top w:val="single" w:sz="4" w:space="0" w:color="auto"/>
              <w:left w:val="single" w:sz="4" w:space="0" w:color="auto"/>
              <w:bottom w:val="single" w:sz="24" w:space="0" w:color="auto"/>
              <w:right w:val="single" w:sz="4" w:space="0" w:color="auto"/>
            </w:tcBorders>
            <w:shd w:val="clear" w:color="auto" w:fill="auto"/>
            <w:vAlign w:val="center"/>
          </w:tcPr>
          <w:p w14:paraId="2CBA24A5"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7C1C9CEA"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7172350C" w14:textId="77777777" w:rsidTr="006D5F83">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F7941D"/>
          </w:tcPr>
          <w:p w14:paraId="1088F6D6" w14:textId="77777777" w:rsidR="00771086" w:rsidRPr="00DB5740" w:rsidRDefault="005B5528" w:rsidP="00771086">
            <w:pPr>
              <w:keepNext/>
              <w:autoSpaceDE w:val="0"/>
              <w:autoSpaceDN w:val="0"/>
              <w:adjustRightInd w:val="0"/>
              <w:spacing w:after="120"/>
              <w:rPr>
                <w:b/>
                <w:bCs/>
              </w:rPr>
            </w:pPr>
            <w:r w:rsidRPr="00DB5740">
              <w:rPr>
                <w:b/>
                <w:bCs/>
              </w:rPr>
              <w:lastRenderedPageBreak/>
              <w:t>PART II</w:t>
            </w:r>
          </w:p>
        </w:tc>
      </w:tr>
      <w:tr w:rsidR="00000000" w14:paraId="71063BF3" w14:textId="77777777" w:rsidTr="00DB5740">
        <w:trPr>
          <w:cantSplit/>
          <w:jc w:val="center"/>
        </w:trPr>
        <w:tc>
          <w:tcPr>
            <w:tcW w:w="5000" w:type="pct"/>
            <w:gridSpan w:val="7"/>
            <w:tcBorders>
              <w:top w:val="single" w:sz="24" w:space="0" w:color="auto"/>
              <w:left w:val="single" w:sz="4" w:space="0" w:color="auto"/>
              <w:bottom w:val="single" w:sz="4" w:space="0" w:color="auto"/>
              <w:right w:val="single" w:sz="4" w:space="0" w:color="auto"/>
            </w:tcBorders>
            <w:shd w:val="clear" w:color="auto" w:fill="D9D9D9"/>
          </w:tcPr>
          <w:p w14:paraId="456A0E3C" w14:textId="77777777" w:rsidR="00771086" w:rsidRPr="00DB5740" w:rsidRDefault="005B5528" w:rsidP="00771086">
            <w:pPr>
              <w:keepNext/>
              <w:keepLines/>
              <w:autoSpaceDE w:val="0"/>
              <w:autoSpaceDN w:val="0"/>
              <w:adjustRightInd w:val="0"/>
              <w:spacing w:after="120"/>
              <w:rPr>
                <w:b/>
                <w:bCs/>
              </w:rPr>
            </w:pPr>
            <w:r w:rsidRPr="00DB5740">
              <w:rPr>
                <w:b/>
                <w:bCs/>
              </w:rPr>
              <w:t>Item 5</w:t>
            </w:r>
            <w:r w:rsidRPr="00DB5740">
              <w:rPr>
                <w:b/>
                <w:bCs/>
              </w:rPr>
              <w:t>. Market for Registrant</w:t>
            </w:r>
            <w:r>
              <w:rPr>
                <w:b/>
                <w:bCs/>
              </w:rPr>
              <w:t>’</w:t>
            </w:r>
            <w:r w:rsidRPr="00DB5740">
              <w:rPr>
                <w:b/>
                <w:bCs/>
              </w:rPr>
              <w:t>s Common Equity, Related Stockholder Matters and</w:t>
            </w:r>
            <w:r>
              <w:rPr>
                <w:b/>
                <w:bCs/>
              </w:rPr>
              <w:t xml:space="preserve"> </w:t>
            </w:r>
            <w:r w:rsidRPr="00DB5740">
              <w:rPr>
                <w:b/>
                <w:bCs/>
              </w:rPr>
              <w:t>Issuer Purchase</w:t>
            </w:r>
            <w:r>
              <w:rPr>
                <w:b/>
                <w:bCs/>
              </w:rPr>
              <w:t>s</w:t>
            </w:r>
          </w:p>
          <w:p w14:paraId="10B0FDD3" w14:textId="77777777" w:rsidR="00771086" w:rsidRPr="00DB5740" w:rsidRDefault="005B5528" w:rsidP="00771086">
            <w:pPr>
              <w:keepNext/>
              <w:keepLines/>
              <w:autoSpaceDE w:val="0"/>
              <w:autoSpaceDN w:val="0"/>
              <w:adjustRightInd w:val="0"/>
              <w:spacing w:after="120"/>
              <w:rPr>
                <w:b/>
                <w:bCs/>
              </w:rPr>
            </w:pPr>
            <w:r w:rsidRPr="00DB5740">
              <w:rPr>
                <w:b/>
                <w:bCs/>
              </w:rPr>
              <w:t>of Equity Securities.</w:t>
            </w:r>
          </w:p>
        </w:tc>
      </w:tr>
      <w:tr w:rsidR="00000000" w14:paraId="7CF8AC77"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1736D13E" w14:textId="77777777" w:rsidR="00771086" w:rsidRPr="00DB5740" w:rsidRDefault="005B5528" w:rsidP="00771086">
            <w:pPr>
              <w:autoSpaceDE w:val="0"/>
              <w:autoSpaceDN w:val="0"/>
              <w:adjustRightInd w:val="0"/>
            </w:pPr>
            <w:r w:rsidRPr="00DB5740">
              <w:t>Item 5. Market for Registrant</w:t>
            </w:r>
            <w:r>
              <w:t>’</w:t>
            </w:r>
            <w:r w:rsidRPr="00DB5740">
              <w:t xml:space="preserve">s Common Equity, Related Stockholder Matters and Issuer Purchases of Equity Securities </w:t>
            </w:r>
          </w:p>
          <w:p w14:paraId="2D05E3A8" w14:textId="77777777" w:rsidR="00771086" w:rsidRPr="00DB5740" w:rsidRDefault="00771086" w:rsidP="00771086">
            <w:pPr>
              <w:autoSpaceDE w:val="0"/>
              <w:autoSpaceDN w:val="0"/>
              <w:adjustRightInd w:val="0"/>
            </w:pPr>
          </w:p>
          <w:p w14:paraId="55FB7D58" w14:textId="77777777" w:rsidR="00771086" w:rsidRPr="00DB5740" w:rsidRDefault="005B5528" w:rsidP="00771086">
            <w:pPr>
              <w:autoSpaceDE w:val="0"/>
              <w:autoSpaceDN w:val="0"/>
              <w:adjustRightInd w:val="0"/>
            </w:pPr>
            <w:r w:rsidRPr="00DB5740">
              <w:t>Item 5(a)</w:t>
            </w:r>
          </w:p>
          <w:p w14:paraId="2C048697" w14:textId="77777777" w:rsidR="00771086" w:rsidRPr="00DB5740" w:rsidRDefault="005B5528" w:rsidP="00771086">
            <w:pPr>
              <w:autoSpaceDE w:val="0"/>
              <w:autoSpaceDN w:val="0"/>
              <w:adjustRightInd w:val="0"/>
            </w:pPr>
            <w:r w:rsidRPr="00DB5740">
              <w:t>[Market Inform</w:t>
            </w:r>
            <w:r w:rsidRPr="00DB5740">
              <w:t>ation]</w:t>
            </w:r>
          </w:p>
          <w:p w14:paraId="44AC1EBB" w14:textId="77777777" w:rsidR="00771086" w:rsidRPr="00DB5740" w:rsidRDefault="00771086" w:rsidP="00771086">
            <w:pPr>
              <w:autoSpaceDE w:val="0"/>
              <w:autoSpaceDN w:val="0"/>
              <w:adjustRightInd w:val="0"/>
            </w:pPr>
          </w:p>
          <w:p w14:paraId="1A23B78A" w14:textId="77777777" w:rsidR="00771086" w:rsidRPr="00DB5740" w:rsidRDefault="005B5528" w:rsidP="00771086">
            <w:pPr>
              <w:autoSpaceDE w:val="0"/>
              <w:autoSpaceDN w:val="0"/>
              <w:adjustRightInd w:val="0"/>
            </w:pPr>
            <w:r w:rsidRPr="00DB5740">
              <w:t>[Unregistered Sales of Equity Securities]</w:t>
            </w:r>
          </w:p>
          <w:p w14:paraId="6744E72C" w14:textId="77777777" w:rsidR="00771086" w:rsidRPr="00DB5740" w:rsidRDefault="00771086" w:rsidP="00771086">
            <w:pPr>
              <w:autoSpaceDE w:val="0"/>
              <w:autoSpaceDN w:val="0"/>
              <w:adjustRightInd w:val="0"/>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59656C1C" w14:textId="77777777" w:rsidR="00771086" w:rsidRPr="00DB5740" w:rsidRDefault="00771086" w:rsidP="00771086">
            <w:pPr>
              <w:autoSpaceDE w:val="0"/>
              <w:autoSpaceDN w:val="0"/>
              <w:adjustRightInd w:val="0"/>
              <w:jc w:val="center"/>
            </w:pPr>
          </w:p>
          <w:p w14:paraId="22F141F2" w14:textId="77777777" w:rsidR="00771086" w:rsidRPr="00DB5740" w:rsidRDefault="005B5528" w:rsidP="00771086">
            <w:pPr>
              <w:autoSpaceDE w:val="0"/>
              <w:autoSpaceDN w:val="0"/>
              <w:adjustRightInd w:val="0"/>
              <w:jc w:val="center"/>
            </w:pPr>
            <w:hyperlink r:id="rId102" w:anchor="229.201" w:history="1">
              <w:r w:rsidRPr="00DB5740">
                <w:rPr>
                  <w:rStyle w:val="Hyperlink"/>
                </w:rPr>
                <w:t>201</w:t>
              </w:r>
            </w:hyperlink>
          </w:p>
          <w:p w14:paraId="1C7B973D" w14:textId="77777777" w:rsidR="00771086" w:rsidRPr="00DB5740" w:rsidRDefault="00771086" w:rsidP="00771086">
            <w:pPr>
              <w:autoSpaceDE w:val="0"/>
              <w:autoSpaceDN w:val="0"/>
              <w:adjustRightInd w:val="0"/>
              <w:jc w:val="center"/>
            </w:pPr>
          </w:p>
          <w:p w14:paraId="4C65CD16" w14:textId="77777777" w:rsidR="00771086" w:rsidRPr="00DB5740" w:rsidRDefault="005B5528" w:rsidP="00771086">
            <w:pPr>
              <w:autoSpaceDE w:val="0"/>
              <w:autoSpaceDN w:val="0"/>
              <w:adjustRightInd w:val="0"/>
              <w:jc w:val="center"/>
            </w:pPr>
            <w:hyperlink r:id="rId103" w:anchor="229.701" w:history="1">
              <w:r w:rsidRPr="00DB5740">
                <w:rPr>
                  <w:rStyle w:val="Hyperlink"/>
                </w:rPr>
                <w:t>701</w:t>
              </w:r>
            </w:hyperlink>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78799B3B" w14:textId="77777777" w:rsidR="00771086" w:rsidRPr="00DB5740" w:rsidRDefault="005B5528" w:rsidP="00771086">
            <w:pPr>
              <w:keepNext/>
              <w:keepLines/>
              <w:autoSpaceDE w:val="0"/>
              <w:autoSpaceDN w:val="0"/>
              <w:adjustRightInd w:val="0"/>
              <w:spacing w:after="120"/>
            </w:pPr>
            <w:r w:rsidRPr="00DB5740">
              <w:t>Provide required di</w:t>
            </w:r>
            <w:r w:rsidRPr="00DB5740">
              <w:t>sclosure concerning market information, holders of equity securities and dividends.</w:t>
            </w:r>
          </w:p>
          <w:p w14:paraId="6C452942" w14:textId="77777777" w:rsidR="00771086" w:rsidRPr="00DB5740" w:rsidRDefault="005B5528" w:rsidP="00771086">
            <w:pPr>
              <w:keepNext/>
              <w:keepLines/>
              <w:autoSpaceDE w:val="0"/>
              <w:autoSpaceDN w:val="0"/>
              <w:adjustRightInd w:val="0"/>
              <w:spacing w:after="120"/>
            </w:pPr>
            <w:r w:rsidRPr="00DB5740">
              <w:t>Determine whether there were any unregistered sales of equity securities during the period covered by the report unless a prior Form 8</w:t>
            </w:r>
            <w:r w:rsidRPr="00DB5740">
              <w:noBreakHyphen/>
              <w:t>K included the required information.</w:t>
            </w:r>
          </w:p>
          <w:p w14:paraId="344CA883" w14:textId="77777777" w:rsidR="00771086" w:rsidRPr="00DB5740" w:rsidRDefault="005B5528" w:rsidP="00771086">
            <w:pPr>
              <w:keepNext/>
              <w:keepLines/>
              <w:autoSpaceDE w:val="0"/>
              <w:autoSpaceDN w:val="0"/>
              <w:adjustRightInd w:val="0"/>
              <w:spacing w:after="120"/>
            </w:pPr>
            <w:r w:rsidRPr="00DB5740">
              <w:t>Note: Form </w:t>
            </w:r>
            <w:r>
              <w:t>10</w:t>
            </w:r>
            <w:r>
              <w:noBreakHyphen/>
              <w:t>K</w:t>
            </w:r>
            <w:r w:rsidRPr="00DB5740">
              <w:t xml:space="preserve"> does not require:</w:t>
            </w:r>
          </w:p>
          <w:p w14:paraId="7BE973D7" w14:textId="77777777" w:rsidR="00771086" w:rsidRPr="00DB5740" w:rsidRDefault="005B5528" w:rsidP="00BF3B62">
            <w:pPr>
              <w:pStyle w:val="ListBullet"/>
            </w:pPr>
            <w:r w:rsidRPr="00DB5740">
              <w:t>information previously disclosed in a Form 10</w:t>
            </w:r>
            <w:r w:rsidRPr="00DB5740">
              <w:noBreakHyphen/>
              <w:t>Q quarterly report, or</w:t>
            </w:r>
          </w:p>
          <w:p w14:paraId="460DFF88" w14:textId="77777777" w:rsidR="00771086" w:rsidRPr="00DB5740" w:rsidRDefault="005B5528" w:rsidP="00BF3B62">
            <w:pPr>
              <w:pStyle w:val="ListBullet"/>
            </w:pPr>
            <w:r w:rsidRPr="00DB5740">
              <w:t>disclosure of sales exempt under Regulation S.</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2210EB23" w14:textId="77777777" w:rsidR="00771086" w:rsidRPr="00DB5740" w:rsidRDefault="00771086" w:rsidP="00771086">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7E195250" w14:textId="77777777" w:rsidR="00771086" w:rsidRPr="00DB5740" w:rsidRDefault="00771086" w:rsidP="00771086">
            <w:pPr>
              <w:autoSpaceDE w:val="0"/>
              <w:autoSpaceDN w:val="0"/>
              <w:adjustRightInd w:val="0"/>
              <w:rPr>
                <w:sz w:val="20"/>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7B489"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0755ADC9"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1ED06B81"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6AFD5720" w14:textId="77777777" w:rsidR="00771086" w:rsidRPr="00DB5740" w:rsidRDefault="00771086" w:rsidP="00771086">
            <w:pPr>
              <w:autoSpaceDE w:val="0"/>
              <w:autoSpaceDN w:val="0"/>
              <w:adjustRightInd w:val="0"/>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1404573F" w14:textId="77777777" w:rsidR="00771086" w:rsidRPr="00DB5740" w:rsidRDefault="005B5528" w:rsidP="00771086">
            <w:pPr>
              <w:autoSpaceDE w:val="0"/>
              <w:autoSpaceDN w:val="0"/>
              <w:adjustRightInd w:val="0"/>
              <w:jc w:val="center"/>
            </w:pPr>
            <w:hyperlink r:id="rId104" w:anchor="229.201" w:history="1">
              <w:r w:rsidRPr="00DB5740">
                <w:rPr>
                  <w:rStyle w:val="Hyperlink"/>
                </w:rPr>
                <w:t>201</w:t>
              </w:r>
              <w:r w:rsidRPr="00DB5740">
                <w:rPr>
                  <w:rStyle w:val="Hyperlink"/>
                </w:rPr>
                <w:t>(a)</w:t>
              </w:r>
            </w:hyperlink>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0593BFAB" w14:textId="77777777" w:rsidR="00771086" w:rsidRPr="00DB5740" w:rsidRDefault="005B5528" w:rsidP="00771086">
            <w:pPr>
              <w:keepNext/>
              <w:keepLines/>
              <w:autoSpaceDE w:val="0"/>
              <w:autoSpaceDN w:val="0"/>
              <w:adjustRightInd w:val="0"/>
              <w:spacing w:after="120"/>
              <w:rPr>
                <w:b/>
                <w:bCs/>
              </w:rPr>
            </w:pPr>
            <w:r w:rsidRPr="00DB5740">
              <w:rPr>
                <w:b/>
                <w:bCs/>
              </w:rPr>
              <w:t>Market Information</w:t>
            </w:r>
          </w:p>
          <w:p w14:paraId="102CA3F1" w14:textId="77777777" w:rsidR="00771086" w:rsidRPr="00DB5740" w:rsidRDefault="005B5528" w:rsidP="00771086">
            <w:pPr>
              <w:autoSpaceDE w:val="0"/>
              <w:autoSpaceDN w:val="0"/>
              <w:adjustRightInd w:val="0"/>
              <w:spacing w:after="120"/>
              <w:rPr>
                <w:szCs w:val="24"/>
              </w:rPr>
            </w:pPr>
            <w:r w:rsidRPr="00DB5740">
              <w:rPr>
                <w:szCs w:val="24"/>
              </w:rPr>
              <w:t>Identify:</w:t>
            </w:r>
          </w:p>
          <w:p w14:paraId="1B9A1D75" w14:textId="77777777" w:rsidR="00771086" w:rsidRPr="00DB5740" w:rsidRDefault="005B5528" w:rsidP="00BF3B62">
            <w:pPr>
              <w:pStyle w:val="ListBullet"/>
            </w:pPr>
            <w:r w:rsidRPr="00DB5740">
              <w:t>the principal U.S. market for each class of the company</w:t>
            </w:r>
            <w:r>
              <w:t>’</w:t>
            </w:r>
            <w:r w:rsidRPr="00DB5740">
              <w:t>s common equity</w:t>
            </w:r>
          </w:p>
          <w:p w14:paraId="0268E13B" w14:textId="77777777" w:rsidR="00771086" w:rsidRPr="00DB5740" w:rsidRDefault="005B5528" w:rsidP="00BF3B62">
            <w:pPr>
              <w:pStyle w:val="ListBullet"/>
            </w:pPr>
            <w:r w:rsidRPr="00DB5740">
              <w:t>the corresponding trading symbol(s)</w:t>
            </w:r>
          </w:p>
          <w:p w14:paraId="0C95521A" w14:textId="77777777" w:rsidR="00771086" w:rsidRPr="00DB5740" w:rsidRDefault="005B5528" w:rsidP="00771086">
            <w:pPr>
              <w:pStyle w:val="BodyText"/>
              <w:spacing w:after="120"/>
              <w:rPr>
                <w:szCs w:val="24"/>
              </w:rPr>
            </w:pPr>
            <w:r w:rsidRPr="00DB5740">
              <w:rPr>
                <w:szCs w:val="24"/>
              </w:rPr>
              <w:t>If the company</w:t>
            </w:r>
            <w:r>
              <w:rPr>
                <w:szCs w:val="24"/>
              </w:rPr>
              <w:t>’</w:t>
            </w:r>
            <w:r w:rsidRPr="00DB5740">
              <w:rPr>
                <w:szCs w:val="24"/>
              </w:rPr>
              <w:t>s common equity is not listed on a stock exchange, additional disclosure specified in Item 201(a) i</w:t>
            </w:r>
            <w:r w:rsidRPr="00DB5740">
              <w:rPr>
                <w:szCs w:val="24"/>
              </w:rPr>
              <w:t>s required.</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577B75BB" w14:textId="77777777" w:rsidR="00771086" w:rsidRPr="00DB5740" w:rsidRDefault="005B5528" w:rsidP="00771086">
            <w:pPr>
              <w:autoSpaceDE w:val="0"/>
              <w:autoSpaceDN w:val="0"/>
              <w:adjustRightInd w:val="0"/>
              <w:spacing w:after="120"/>
              <w:rPr>
                <w:bCs/>
                <w:iCs/>
                <w:szCs w:val="24"/>
              </w:rPr>
            </w:pPr>
            <w:r w:rsidRPr="00DB5740">
              <w:rPr>
                <w:bCs/>
                <w:iCs/>
                <w:szCs w:val="24"/>
              </w:rPr>
              <w:t>The 2018 amendments eliminated the requirement to disclose the high and low sales prices for each full quarterly period during the most recent two fiscal years and interim periods.</w:t>
            </w: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36605FF1" w14:textId="77777777" w:rsidR="00771086" w:rsidRPr="00DB5740" w:rsidRDefault="00771086" w:rsidP="00771086">
            <w:pPr>
              <w:autoSpaceDE w:val="0"/>
              <w:autoSpaceDN w:val="0"/>
              <w:adjustRightInd w:val="0"/>
              <w:rPr>
                <w:sz w:val="20"/>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D6304"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75DC4859"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60F87AC3"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3CB9005E" w14:textId="77777777" w:rsidR="00771086" w:rsidRPr="00DB5740" w:rsidRDefault="00771086" w:rsidP="00771086">
            <w:pPr>
              <w:autoSpaceDE w:val="0"/>
              <w:autoSpaceDN w:val="0"/>
              <w:adjustRightInd w:val="0"/>
              <w:rPr>
                <w:i/>
              </w:rPr>
            </w:pPr>
          </w:p>
        </w:tc>
        <w:tc>
          <w:tcPr>
            <w:tcW w:w="584" w:type="pct"/>
            <w:tcBorders>
              <w:top w:val="single" w:sz="4" w:space="0" w:color="auto"/>
              <w:left w:val="single" w:sz="4" w:space="0" w:color="auto"/>
              <w:bottom w:val="single" w:sz="4" w:space="0" w:color="auto"/>
              <w:right w:val="single" w:sz="4" w:space="0" w:color="auto"/>
            </w:tcBorders>
          </w:tcPr>
          <w:p w14:paraId="204FDB16" w14:textId="77777777" w:rsidR="00771086" w:rsidRPr="00DB5740" w:rsidRDefault="005B5528" w:rsidP="00771086">
            <w:pPr>
              <w:autoSpaceDE w:val="0"/>
              <w:autoSpaceDN w:val="0"/>
              <w:adjustRightInd w:val="0"/>
              <w:jc w:val="center"/>
            </w:pPr>
            <w:hyperlink r:id="rId105" w:anchor="229.201" w:history="1">
              <w:r w:rsidRPr="00DB5740">
                <w:rPr>
                  <w:rStyle w:val="Hyperlink"/>
                </w:rPr>
                <w:t>201(b)</w:t>
              </w:r>
            </w:hyperlink>
          </w:p>
        </w:tc>
        <w:tc>
          <w:tcPr>
            <w:tcW w:w="1907" w:type="pct"/>
            <w:tcBorders>
              <w:top w:val="single" w:sz="4" w:space="0" w:color="auto"/>
              <w:left w:val="single" w:sz="4" w:space="0" w:color="auto"/>
              <w:bottom w:val="single" w:sz="4" w:space="0" w:color="auto"/>
              <w:right w:val="single" w:sz="4" w:space="0" w:color="auto"/>
            </w:tcBorders>
          </w:tcPr>
          <w:p w14:paraId="329492AA" w14:textId="77777777" w:rsidR="00771086" w:rsidRPr="00DB5740" w:rsidRDefault="005B5528" w:rsidP="00771086">
            <w:pPr>
              <w:autoSpaceDE w:val="0"/>
              <w:autoSpaceDN w:val="0"/>
              <w:adjustRightInd w:val="0"/>
              <w:spacing w:after="120"/>
              <w:rPr>
                <w:b/>
                <w:bCs/>
              </w:rPr>
            </w:pPr>
            <w:r w:rsidRPr="00DB5740">
              <w:rPr>
                <w:b/>
                <w:bCs/>
              </w:rPr>
              <w:t>Holders</w:t>
            </w:r>
          </w:p>
          <w:p w14:paraId="08CB5C07" w14:textId="77777777" w:rsidR="00771086" w:rsidRPr="00DB5740" w:rsidRDefault="005B5528" w:rsidP="00771086">
            <w:pPr>
              <w:autoSpaceDE w:val="0"/>
              <w:autoSpaceDN w:val="0"/>
              <w:adjustRightInd w:val="0"/>
              <w:spacing w:after="120"/>
            </w:pPr>
            <w:r w:rsidRPr="00DB5740">
              <w:t>State the approximate number of holders of each class of the company</w:t>
            </w:r>
            <w:r>
              <w:t>’</w:t>
            </w:r>
            <w:r w:rsidRPr="00DB5740">
              <w:t>s common equity as of the latest practicable date.</w:t>
            </w:r>
          </w:p>
        </w:tc>
        <w:tc>
          <w:tcPr>
            <w:tcW w:w="925" w:type="pct"/>
            <w:tcBorders>
              <w:top w:val="single" w:sz="4" w:space="0" w:color="auto"/>
              <w:left w:val="single" w:sz="4" w:space="0" w:color="auto"/>
              <w:bottom w:val="single" w:sz="4" w:space="0" w:color="auto"/>
              <w:right w:val="single" w:sz="4" w:space="0" w:color="auto"/>
            </w:tcBorders>
          </w:tcPr>
          <w:p w14:paraId="7C962AF7" w14:textId="77777777" w:rsidR="00771086" w:rsidRPr="00DB5740" w:rsidRDefault="00771086" w:rsidP="00771086">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27FB4F4D" w14:textId="77777777" w:rsidR="00771086" w:rsidRPr="00DB5740" w:rsidRDefault="00771086" w:rsidP="00771086">
            <w:pPr>
              <w:autoSpaceDE w:val="0"/>
              <w:autoSpaceDN w:val="0"/>
              <w:adjustRightInd w:val="0"/>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6F1E0354"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6D729CDB"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556DF7B1"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378A78C3" w14:textId="77777777" w:rsidR="00771086" w:rsidRPr="00DB5740" w:rsidRDefault="00771086" w:rsidP="00771086">
            <w:pPr>
              <w:autoSpaceDE w:val="0"/>
              <w:autoSpaceDN w:val="0"/>
              <w:adjustRightInd w:val="0"/>
              <w:rPr>
                <w:i/>
              </w:rPr>
            </w:pPr>
          </w:p>
        </w:tc>
        <w:tc>
          <w:tcPr>
            <w:tcW w:w="584" w:type="pct"/>
            <w:tcBorders>
              <w:top w:val="single" w:sz="4" w:space="0" w:color="auto"/>
              <w:left w:val="single" w:sz="4" w:space="0" w:color="auto"/>
              <w:bottom w:val="single" w:sz="4" w:space="0" w:color="auto"/>
              <w:right w:val="single" w:sz="4" w:space="0" w:color="auto"/>
            </w:tcBorders>
          </w:tcPr>
          <w:p w14:paraId="56479639" w14:textId="77777777" w:rsidR="00771086" w:rsidRPr="00DB5740" w:rsidRDefault="005B5528" w:rsidP="00771086">
            <w:pPr>
              <w:autoSpaceDE w:val="0"/>
              <w:autoSpaceDN w:val="0"/>
              <w:adjustRightInd w:val="0"/>
              <w:jc w:val="center"/>
            </w:pPr>
            <w:hyperlink r:id="rId106" w:anchor="229.201" w:history="1">
              <w:r w:rsidRPr="00DB5740">
                <w:rPr>
                  <w:rStyle w:val="Hyperlink"/>
                </w:rPr>
                <w:t>201(c)</w:t>
              </w:r>
            </w:hyperlink>
          </w:p>
        </w:tc>
        <w:tc>
          <w:tcPr>
            <w:tcW w:w="1907" w:type="pct"/>
            <w:tcBorders>
              <w:top w:val="single" w:sz="4" w:space="0" w:color="auto"/>
              <w:left w:val="single" w:sz="4" w:space="0" w:color="auto"/>
              <w:bottom w:val="single" w:sz="4" w:space="0" w:color="auto"/>
              <w:right w:val="single" w:sz="4" w:space="0" w:color="auto"/>
            </w:tcBorders>
          </w:tcPr>
          <w:p w14:paraId="135AEA31" w14:textId="77777777" w:rsidR="00771086" w:rsidRPr="00DB5740" w:rsidRDefault="005B5528" w:rsidP="00771086">
            <w:pPr>
              <w:autoSpaceDE w:val="0"/>
              <w:autoSpaceDN w:val="0"/>
              <w:adjustRightInd w:val="0"/>
              <w:spacing w:after="120"/>
            </w:pPr>
            <w:r w:rsidRPr="00DB5740">
              <w:rPr>
                <w:b/>
                <w:bCs/>
              </w:rPr>
              <w:t xml:space="preserve">Dividends. </w:t>
            </w:r>
            <w:r w:rsidRPr="00DB5740">
              <w:t xml:space="preserve"> Item 201(c) </w:t>
            </w:r>
            <w:r>
              <w:t>“</w:t>
            </w:r>
            <w:r w:rsidRPr="00DB5740">
              <w:t>encourages</w:t>
            </w:r>
            <w:r>
              <w:t>”</w:t>
            </w:r>
            <w:r w:rsidRPr="00DB5740">
              <w:t xml:space="preserve"> the following disclosure:</w:t>
            </w:r>
          </w:p>
          <w:p w14:paraId="21D71958" w14:textId="77777777" w:rsidR="00771086" w:rsidRPr="00DB5740" w:rsidRDefault="005B5528" w:rsidP="00BF3B62">
            <w:pPr>
              <w:pStyle w:val="ListBullet"/>
            </w:pPr>
            <w:r w:rsidRPr="00DB5740">
              <w:t>If the company has a record of paying no cash dividends although earnings indicate an ability to do so, the company</w:t>
            </w:r>
            <w:r>
              <w:t>’</w:t>
            </w:r>
            <w:r w:rsidRPr="00DB5740">
              <w:t>s intention to pay cash dividends in the forese</w:t>
            </w:r>
            <w:r w:rsidRPr="00DB5740">
              <w:t>eable future or, if no such intention exists, to state that fact.</w:t>
            </w:r>
          </w:p>
          <w:p w14:paraId="53F3F9A4" w14:textId="77777777" w:rsidR="00771086" w:rsidRPr="00DB5740" w:rsidRDefault="005B5528" w:rsidP="00BF3B62">
            <w:pPr>
              <w:pStyle w:val="ListBullet"/>
            </w:pPr>
            <w:r w:rsidRPr="00DB5740">
              <w:t>If the company has a history of paying cash dividends, whether the company currently expects that it will continue to pay comparable cash dividends in the future and, if not, the nature of t</w:t>
            </w:r>
            <w:r w:rsidRPr="00DB5740">
              <w:t>he change in the amoun</w:t>
            </w:r>
            <w:r>
              <w:t>t</w:t>
            </w:r>
            <w:r w:rsidRPr="00DB5740">
              <w:t xml:space="preserve"> or rate o</w:t>
            </w:r>
            <w:r>
              <w:t>f</w:t>
            </w:r>
            <w:r w:rsidRPr="00DB5740">
              <w:t xml:space="preserve"> cash dividend payments.</w:t>
            </w:r>
          </w:p>
          <w:p w14:paraId="51BCFD04" w14:textId="77777777" w:rsidR="00771086" w:rsidRPr="00DB5740" w:rsidRDefault="005B5528" w:rsidP="00771086">
            <w:pPr>
              <w:autoSpaceDE w:val="0"/>
              <w:autoSpaceDN w:val="0"/>
              <w:adjustRightInd w:val="0"/>
              <w:spacing w:after="120"/>
            </w:pPr>
            <w:r w:rsidRPr="00DB5740">
              <w:t>The 2018 amendments eliminated the requirement to disclose:</w:t>
            </w:r>
          </w:p>
          <w:p w14:paraId="5A4366A2" w14:textId="77777777" w:rsidR="00771086" w:rsidRPr="00DB5740" w:rsidRDefault="005B5528" w:rsidP="00BF3B62">
            <w:pPr>
              <w:pStyle w:val="ListBullet"/>
            </w:pPr>
            <w:r w:rsidRPr="00DB5740">
              <w:t>the frequency and amount of cash dividends on common equity; and</w:t>
            </w:r>
          </w:p>
          <w:p w14:paraId="66C52912" w14:textId="77777777" w:rsidR="00771086" w:rsidRPr="00DB5740" w:rsidRDefault="005B5528" w:rsidP="00BF3B62">
            <w:pPr>
              <w:pStyle w:val="ListBullet"/>
            </w:pPr>
            <w:r w:rsidRPr="00DB5740">
              <w:t>restrictions that materially limit the company</w:t>
            </w:r>
            <w:r>
              <w:t>’</w:t>
            </w:r>
            <w:r w:rsidRPr="00DB5740">
              <w:t xml:space="preserve">s current ability to pay </w:t>
            </w:r>
            <w:r w:rsidRPr="00DB5740">
              <w:t>such dividends or that are likely to limit materially the company</w:t>
            </w:r>
            <w:r>
              <w:t>’</w:t>
            </w:r>
            <w:r w:rsidRPr="00DB5740">
              <w:t xml:space="preserve">s future ability to pay such dividends. </w:t>
            </w:r>
          </w:p>
          <w:p w14:paraId="34C577AC" w14:textId="77777777" w:rsidR="00771086" w:rsidRPr="00DB5740" w:rsidRDefault="005B5528" w:rsidP="00771086">
            <w:pPr>
              <w:autoSpaceDE w:val="0"/>
              <w:autoSpaceDN w:val="0"/>
              <w:adjustRightInd w:val="0"/>
              <w:spacing w:after="120"/>
            </w:pPr>
            <w:r w:rsidRPr="00DB5740">
              <w:t>Rule 3-04 of Regulation S-X requires financial statement disclosure of the amount of cash dividends paid or declared in interim financial periods.</w:t>
            </w:r>
          </w:p>
          <w:p w14:paraId="168CDD0D" w14:textId="77777777" w:rsidR="00771086" w:rsidRPr="00DB5740" w:rsidRDefault="005B5528" w:rsidP="00771086">
            <w:pPr>
              <w:autoSpaceDE w:val="0"/>
              <w:autoSpaceDN w:val="0"/>
              <w:adjustRightInd w:val="0"/>
              <w:spacing w:after="120"/>
            </w:pPr>
            <w:r w:rsidRPr="00DB5740">
              <w:t>Ru</w:t>
            </w:r>
            <w:r w:rsidRPr="00DB5740">
              <w:t>le 4-08(e)(3) of Regulation S-X requires financial statement footnote disclosure of dividend restrictions when they are material, rather than based on a bright-line threshold.</w:t>
            </w:r>
          </w:p>
        </w:tc>
        <w:tc>
          <w:tcPr>
            <w:tcW w:w="925" w:type="pct"/>
            <w:tcBorders>
              <w:top w:val="single" w:sz="4" w:space="0" w:color="auto"/>
              <w:left w:val="single" w:sz="4" w:space="0" w:color="auto"/>
              <w:bottom w:val="single" w:sz="4" w:space="0" w:color="auto"/>
              <w:right w:val="single" w:sz="4" w:space="0" w:color="auto"/>
            </w:tcBorders>
          </w:tcPr>
          <w:p w14:paraId="3508EDDA" w14:textId="77777777" w:rsidR="00771086" w:rsidRPr="00DB5740" w:rsidRDefault="00771086" w:rsidP="00771086">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32998B87" w14:textId="77777777" w:rsidR="00771086" w:rsidRPr="00DB5740" w:rsidRDefault="00771086" w:rsidP="00771086">
            <w:pPr>
              <w:autoSpaceDE w:val="0"/>
              <w:autoSpaceDN w:val="0"/>
              <w:adjustRightInd w:val="0"/>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478A90E2"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29E51BF3"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561E30D7"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76C426E7" w14:textId="77777777" w:rsidR="00771086" w:rsidRPr="00DB5740" w:rsidRDefault="00771086" w:rsidP="00771086">
            <w:pPr>
              <w:autoSpaceDE w:val="0"/>
              <w:autoSpaceDN w:val="0"/>
              <w:adjustRightInd w:val="0"/>
              <w:rPr>
                <w:i/>
              </w:rPr>
            </w:pPr>
          </w:p>
        </w:tc>
        <w:tc>
          <w:tcPr>
            <w:tcW w:w="584" w:type="pct"/>
            <w:tcBorders>
              <w:top w:val="single" w:sz="4" w:space="0" w:color="auto"/>
              <w:left w:val="single" w:sz="4" w:space="0" w:color="auto"/>
              <w:bottom w:val="single" w:sz="4" w:space="0" w:color="auto"/>
              <w:right w:val="single" w:sz="4" w:space="0" w:color="auto"/>
            </w:tcBorders>
          </w:tcPr>
          <w:p w14:paraId="5E155172" w14:textId="77777777" w:rsidR="00771086" w:rsidRPr="00DB5740" w:rsidRDefault="005B5528" w:rsidP="00771086">
            <w:pPr>
              <w:autoSpaceDE w:val="0"/>
              <w:autoSpaceDN w:val="0"/>
              <w:adjustRightInd w:val="0"/>
              <w:jc w:val="center"/>
            </w:pPr>
            <w:hyperlink r:id="rId107" w:anchor="229.201" w:history="1">
              <w:r w:rsidRPr="00DB5740">
                <w:rPr>
                  <w:rStyle w:val="Hyperlink"/>
                </w:rPr>
                <w:t>201(d)</w:t>
              </w:r>
            </w:hyperlink>
          </w:p>
        </w:tc>
        <w:tc>
          <w:tcPr>
            <w:tcW w:w="1907" w:type="pct"/>
            <w:tcBorders>
              <w:top w:val="single" w:sz="4" w:space="0" w:color="auto"/>
              <w:left w:val="single" w:sz="4" w:space="0" w:color="auto"/>
              <w:bottom w:val="single" w:sz="4" w:space="0" w:color="auto"/>
              <w:right w:val="single" w:sz="4" w:space="0" w:color="auto"/>
            </w:tcBorders>
          </w:tcPr>
          <w:p w14:paraId="72E2610C" w14:textId="77777777" w:rsidR="00771086" w:rsidRPr="00DB5740" w:rsidRDefault="005B5528" w:rsidP="00771086">
            <w:pPr>
              <w:autoSpaceDE w:val="0"/>
              <w:autoSpaceDN w:val="0"/>
              <w:adjustRightInd w:val="0"/>
              <w:spacing w:after="120"/>
              <w:rPr>
                <w:b/>
                <w:bCs/>
              </w:rPr>
            </w:pPr>
            <w:r w:rsidRPr="00DB5740">
              <w:rPr>
                <w:b/>
                <w:bCs/>
              </w:rPr>
              <w:t>Equity Compensation Plan Information Table</w:t>
            </w:r>
          </w:p>
          <w:p w14:paraId="71B1F301" w14:textId="77777777" w:rsidR="00771086" w:rsidRPr="00DB5740" w:rsidRDefault="005B5528" w:rsidP="00771086">
            <w:pPr>
              <w:autoSpaceDE w:val="0"/>
              <w:autoSpaceDN w:val="0"/>
              <w:adjustRightInd w:val="0"/>
              <w:spacing w:after="120"/>
              <w:rPr>
                <w:b/>
                <w:bCs/>
              </w:rPr>
            </w:pPr>
            <w:r w:rsidRPr="00DB5740">
              <w:rPr>
                <w:b/>
                <w:bCs/>
              </w:rPr>
              <w:t>(Securities authorized for issuance under equity compensation plans).</w:t>
            </w:r>
          </w:p>
          <w:p w14:paraId="52C4720F" w14:textId="77777777" w:rsidR="00771086" w:rsidRPr="00DB5740" w:rsidRDefault="005B5528" w:rsidP="00771086">
            <w:pPr>
              <w:autoSpaceDE w:val="0"/>
              <w:autoSpaceDN w:val="0"/>
              <w:adjustRightInd w:val="0"/>
              <w:spacing w:after="120"/>
            </w:pPr>
            <w:r w:rsidRPr="00DB5740">
              <w:t>Item 201(d) requires disclosure of specified information about the company</w:t>
            </w:r>
            <w:r>
              <w:t>’</w:t>
            </w:r>
            <w:r w:rsidRPr="00DB5740">
              <w:t>s compensation plans, which includes</w:t>
            </w:r>
            <w:r w:rsidRPr="00DB5740">
              <w:rPr>
                <w:b/>
                <w:bCs/>
              </w:rPr>
              <w:t xml:space="preserve"> </w:t>
            </w:r>
            <w:r w:rsidRPr="00DB5740">
              <w:rPr>
                <w:b/>
                <w:bCs/>
              </w:rPr>
              <w:t>individual compensation arrangements,</w:t>
            </w:r>
            <w:r w:rsidRPr="00DB5740">
              <w:t xml:space="preserve"> under which the company is authorized to issue equity securities.</w:t>
            </w:r>
          </w:p>
          <w:p w14:paraId="55589DA9" w14:textId="77777777" w:rsidR="00771086" w:rsidRPr="00DB5740" w:rsidRDefault="005B5528" w:rsidP="00771086">
            <w:pPr>
              <w:autoSpaceDE w:val="0"/>
              <w:autoSpaceDN w:val="0"/>
              <w:adjustRightInd w:val="0"/>
              <w:spacing w:after="120"/>
              <w:rPr>
                <w:b/>
                <w:bCs/>
              </w:rPr>
            </w:pPr>
            <w:r w:rsidRPr="00DB5740">
              <w:t>Item 201(d) includes a requirement that this disclosure be presented in a specific tabular format</w:t>
            </w:r>
            <w:r w:rsidRPr="00DB5740">
              <w:rPr>
                <w:b/>
                <w:bCs/>
              </w:rPr>
              <w:t xml:space="preserve"> </w:t>
            </w:r>
          </w:p>
          <w:p w14:paraId="43A55208" w14:textId="77777777" w:rsidR="00771086" w:rsidRPr="00DB5740" w:rsidRDefault="005B5528" w:rsidP="00771086">
            <w:pPr>
              <w:autoSpaceDE w:val="0"/>
              <w:autoSpaceDN w:val="0"/>
              <w:adjustRightInd w:val="0"/>
              <w:spacing w:after="120"/>
              <w:rPr>
                <w:b/>
                <w:bCs/>
              </w:rPr>
            </w:pPr>
            <w:r w:rsidRPr="00DB5740">
              <w:rPr>
                <w:b/>
                <w:bCs/>
              </w:rPr>
              <w:t xml:space="preserve">See guidance (below).  If included in the Form </w:t>
            </w:r>
            <w:r>
              <w:rPr>
                <w:b/>
                <w:bCs/>
              </w:rPr>
              <w:t>10</w:t>
            </w:r>
            <w:r>
              <w:rPr>
                <w:b/>
                <w:bCs/>
              </w:rPr>
              <w:noBreakHyphen/>
              <w:t>K</w:t>
            </w:r>
            <w:r w:rsidRPr="00DB5740">
              <w:rPr>
                <w:b/>
                <w:bCs/>
              </w:rPr>
              <w:t xml:space="preserve">, </w:t>
            </w:r>
            <w:r w:rsidRPr="00DB5740">
              <w:rPr>
                <w:b/>
                <w:bCs/>
              </w:rPr>
              <w:t>Item 201(d) disclosure should be placed under Item 1</w:t>
            </w:r>
            <w:r>
              <w:rPr>
                <w:b/>
                <w:bCs/>
              </w:rPr>
              <w:t>2</w:t>
            </w:r>
            <w:r w:rsidRPr="00DB5740">
              <w:rPr>
                <w:b/>
                <w:bCs/>
              </w:rPr>
              <w:t xml:space="preserve">, </w:t>
            </w:r>
            <w:r w:rsidRPr="00DB5740">
              <w:rPr>
                <w:b/>
                <w:bCs/>
                <w:u w:val="single"/>
              </w:rPr>
              <w:t>not</w:t>
            </w:r>
            <w:r w:rsidRPr="00DB5740">
              <w:rPr>
                <w:b/>
                <w:bCs/>
              </w:rPr>
              <w:t xml:space="preserve"> Item 5.</w:t>
            </w:r>
          </w:p>
        </w:tc>
        <w:tc>
          <w:tcPr>
            <w:tcW w:w="925" w:type="pct"/>
            <w:tcBorders>
              <w:top w:val="single" w:sz="4" w:space="0" w:color="auto"/>
              <w:left w:val="single" w:sz="4" w:space="0" w:color="auto"/>
              <w:bottom w:val="single" w:sz="4" w:space="0" w:color="auto"/>
              <w:right w:val="single" w:sz="4" w:space="0" w:color="auto"/>
            </w:tcBorders>
          </w:tcPr>
          <w:p w14:paraId="3848DD7D" w14:textId="77777777" w:rsidR="00771086" w:rsidRPr="00DB5740" w:rsidRDefault="00771086" w:rsidP="00771086">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5E65E36B" w14:textId="77777777" w:rsidR="00771086" w:rsidRPr="00DB5740" w:rsidRDefault="00771086" w:rsidP="00771086">
            <w:pPr>
              <w:autoSpaceDE w:val="0"/>
              <w:autoSpaceDN w:val="0"/>
              <w:adjustRightInd w:val="0"/>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5D26601"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739FD794"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5F2FEE22"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5F448D7B" w14:textId="77777777" w:rsidR="00771086" w:rsidRPr="00DB5740" w:rsidRDefault="00771086" w:rsidP="00771086">
            <w:pPr>
              <w:autoSpaceDE w:val="0"/>
              <w:autoSpaceDN w:val="0"/>
              <w:adjustRightInd w:val="0"/>
              <w:rPr>
                <w:i/>
              </w:rPr>
            </w:pPr>
          </w:p>
        </w:tc>
        <w:tc>
          <w:tcPr>
            <w:tcW w:w="584" w:type="pct"/>
            <w:tcBorders>
              <w:top w:val="single" w:sz="4" w:space="0" w:color="auto"/>
              <w:left w:val="single" w:sz="4" w:space="0" w:color="auto"/>
              <w:bottom w:val="single" w:sz="4" w:space="0" w:color="auto"/>
              <w:right w:val="single" w:sz="4" w:space="0" w:color="auto"/>
            </w:tcBorders>
          </w:tcPr>
          <w:p w14:paraId="63F49EAB" w14:textId="77777777" w:rsidR="00771086" w:rsidRPr="00DB5740" w:rsidRDefault="00771086" w:rsidP="00771086">
            <w:pPr>
              <w:autoSpaceDE w:val="0"/>
              <w:autoSpaceDN w:val="0"/>
              <w:adjustRightInd w:val="0"/>
              <w:jc w:val="center"/>
            </w:pPr>
          </w:p>
        </w:tc>
        <w:tc>
          <w:tcPr>
            <w:tcW w:w="1907" w:type="pct"/>
            <w:tcBorders>
              <w:top w:val="single" w:sz="4" w:space="0" w:color="auto"/>
              <w:left w:val="single" w:sz="4" w:space="0" w:color="auto"/>
              <w:bottom w:val="single" w:sz="4" w:space="0" w:color="auto"/>
              <w:right w:val="single" w:sz="4" w:space="0" w:color="auto"/>
            </w:tcBorders>
          </w:tcPr>
          <w:p w14:paraId="3A77F10B" w14:textId="77777777" w:rsidR="00771086" w:rsidRPr="00DB5740" w:rsidRDefault="005B5528" w:rsidP="00771086">
            <w:pPr>
              <w:autoSpaceDE w:val="0"/>
              <w:autoSpaceDN w:val="0"/>
              <w:adjustRightInd w:val="0"/>
              <w:spacing w:after="120"/>
              <w:rPr>
                <w:b/>
                <w:bCs/>
              </w:rPr>
            </w:pPr>
            <w:r w:rsidRPr="00DB5740">
              <w:rPr>
                <w:b/>
                <w:bCs/>
              </w:rPr>
              <w:t>Individual Compensation Plan or Arrangement</w:t>
            </w:r>
          </w:p>
          <w:p w14:paraId="2667148E" w14:textId="77777777" w:rsidR="00771086" w:rsidRPr="00DB5740" w:rsidRDefault="005B5528" w:rsidP="00771086">
            <w:pPr>
              <w:autoSpaceDE w:val="0"/>
              <w:autoSpaceDN w:val="0"/>
              <w:adjustRightInd w:val="0"/>
              <w:spacing w:after="120"/>
            </w:pPr>
            <w:r w:rsidRPr="00DB5740">
              <w:t xml:space="preserve">An </w:t>
            </w:r>
            <w:r>
              <w:t>“</w:t>
            </w:r>
            <w:r w:rsidRPr="00DB5740">
              <w:t>individual compensation arrangement</w:t>
            </w:r>
            <w:r>
              <w:t>”</w:t>
            </w:r>
            <w:r w:rsidRPr="00DB5740">
              <w:t xml:space="preserve"> includes, but is not limited to, the following: </w:t>
            </w:r>
          </w:p>
          <w:p w14:paraId="5B8C5218" w14:textId="77777777" w:rsidR="00771086" w:rsidRPr="00DB5740" w:rsidRDefault="005B5528" w:rsidP="00771086">
            <w:pPr>
              <w:numPr>
                <w:ilvl w:val="0"/>
                <w:numId w:val="11"/>
              </w:numPr>
              <w:autoSpaceDE w:val="0"/>
              <w:autoSpaceDN w:val="0"/>
              <w:adjustRightInd w:val="0"/>
              <w:spacing w:after="120"/>
            </w:pPr>
            <w:r w:rsidRPr="00DB5740">
              <w:t>a written compensation contract within</w:t>
            </w:r>
            <w:r w:rsidRPr="00DB5740">
              <w:t xml:space="preserve"> the meaning of </w:t>
            </w:r>
            <w:r>
              <w:t>“</w:t>
            </w:r>
            <w:r w:rsidRPr="00DB5740">
              <w:t>employee benefit plan</w:t>
            </w:r>
            <w:r>
              <w:t>”</w:t>
            </w:r>
            <w:r w:rsidRPr="00DB5740">
              <w:t xml:space="preserve"> under Item 405, and </w:t>
            </w:r>
          </w:p>
          <w:p w14:paraId="313639A3" w14:textId="77777777" w:rsidR="00771086" w:rsidRPr="00DB5740" w:rsidRDefault="005B5528" w:rsidP="00771086">
            <w:pPr>
              <w:numPr>
                <w:ilvl w:val="0"/>
                <w:numId w:val="11"/>
              </w:numPr>
              <w:autoSpaceDE w:val="0"/>
              <w:autoSpaceDN w:val="0"/>
              <w:adjustRightInd w:val="0"/>
              <w:spacing w:after="120"/>
            </w:pPr>
            <w:r w:rsidRPr="00DB5740">
              <w:t>a plan (whether or not set forth in any formal document) applicable to one person as provided under Item 402(a)(6)(ii).</w:t>
            </w:r>
          </w:p>
          <w:p w14:paraId="084DF0AB" w14:textId="77777777" w:rsidR="00771086" w:rsidRPr="00DB5740" w:rsidRDefault="005B5528" w:rsidP="00771086">
            <w:pPr>
              <w:autoSpaceDE w:val="0"/>
              <w:autoSpaceDN w:val="0"/>
              <w:adjustRightInd w:val="0"/>
              <w:spacing w:after="120"/>
            </w:pPr>
            <w:r w:rsidRPr="00DB5740">
              <w:t>Location: Item 201(d) equity compensation plan disclosure is required in th</w:t>
            </w:r>
            <w:r w:rsidRPr="00DB5740">
              <w:t>e company</w:t>
            </w:r>
            <w:r>
              <w:t>’</w:t>
            </w:r>
            <w:r w:rsidRPr="00DB5740">
              <w:t>s proxy statement if shareholder approval is sought for a cash or equity compensation plan.</w:t>
            </w:r>
          </w:p>
          <w:p w14:paraId="31168A6B" w14:textId="77777777" w:rsidR="00771086" w:rsidRPr="00DB5740" w:rsidRDefault="005B5528" w:rsidP="00771086">
            <w:pPr>
              <w:autoSpaceDE w:val="0"/>
              <w:autoSpaceDN w:val="0"/>
              <w:adjustRightInd w:val="0"/>
              <w:spacing w:after="120"/>
            </w:pPr>
            <w:r w:rsidRPr="00DB5740">
              <w:t>A company m</w:t>
            </w:r>
            <w:r>
              <w:t>a</w:t>
            </w:r>
            <w:r w:rsidRPr="00DB5740">
              <w:t>y voluntarily provide Item 201(d) d</w:t>
            </w:r>
            <w:r>
              <w:t>i</w:t>
            </w:r>
            <w:r w:rsidRPr="00DB5740">
              <w:t>sclosure in its proxy statement, and can incorporate this disclosure by reference into Part III of the F</w:t>
            </w:r>
            <w:r>
              <w:t>o</w:t>
            </w:r>
            <w:r w:rsidRPr="00DB5740">
              <w:t>r</w:t>
            </w:r>
            <w:r w:rsidRPr="00DB5740">
              <w:t xml:space="preserve">m </w:t>
            </w:r>
            <w:r>
              <w:t>10</w:t>
            </w:r>
            <w:r>
              <w:noBreakHyphen/>
              <w:t>K</w:t>
            </w:r>
            <w:r w:rsidRPr="00DB5740">
              <w:t>.</w:t>
            </w:r>
          </w:p>
          <w:p w14:paraId="48C8EA7C" w14:textId="77777777" w:rsidR="00771086" w:rsidRPr="00DB5740" w:rsidRDefault="005B5528" w:rsidP="00771086">
            <w:pPr>
              <w:autoSpaceDE w:val="0"/>
              <w:autoSpaceDN w:val="0"/>
              <w:adjustRightInd w:val="0"/>
              <w:spacing w:after="120"/>
              <w:rPr>
                <w:b/>
                <w:bCs/>
              </w:rPr>
            </w:pPr>
            <w:r w:rsidRPr="00DB5740">
              <w:t xml:space="preserve">If the Item </w:t>
            </w:r>
            <w:r>
              <w:t>2</w:t>
            </w:r>
            <w:r w:rsidRPr="00DB5740">
              <w:t xml:space="preserve">01(d) disclosure regarding equity compensation plans is not included in the proxy statement, it should be included in the Form </w:t>
            </w:r>
            <w:r>
              <w:t>10</w:t>
            </w:r>
            <w:r>
              <w:noBreakHyphen/>
              <w:t>K</w:t>
            </w:r>
            <w:r w:rsidRPr="00DB5740">
              <w:t xml:space="preserve"> under Item 1</w:t>
            </w:r>
            <w:r>
              <w:t>2</w:t>
            </w:r>
            <w:r w:rsidRPr="00DB5740">
              <w:t>.  It should not be included under Part II, Item 5.</w:t>
            </w:r>
          </w:p>
        </w:tc>
        <w:tc>
          <w:tcPr>
            <w:tcW w:w="925" w:type="pct"/>
            <w:tcBorders>
              <w:top w:val="single" w:sz="4" w:space="0" w:color="auto"/>
              <w:left w:val="single" w:sz="4" w:space="0" w:color="auto"/>
              <w:bottom w:val="single" w:sz="4" w:space="0" w:color="auto"/>
              <w:right w:val="single" w:sz="4" w:space="0" w:color="auto"/>
            </w:tcBorders>
          </w:tcPr>
          <w:p w14:paraId="5ED8790D" w14:textId="77777777" w:rsidR="00771086" w:rsidRPr="00DB5740" w:rsidRDefault="00771086" w:rsidP="00771086">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31A8D80B" w14:textId="77777777" w:rsidR="00771086" w:rsidRPr="00DB5740" w:rsidRDefault="00771086" w:rsidP="00771086">
            <w:pPr>
              <w:autoSpaceDE w:val="0"/>
              <w:autoSpaceDN w:val="0"/>
              <w:adjustRightInd w:val="0"/>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3574DC30" w14:textId="77777777" w:rsidR="00771086" w:rsidRPr="00DB5740" w:rsidRDefault="00771086" w:rsidP="00771086">
            <w:pPr>
              <w:jc w:val="center"/>
            </w:pPr>
          </w:p>
        </w:tc>
      </w:tr>
      <w:tr w:rsidR="00000000" w14:paraId="491624FB"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4CCF803E" w14:textId="77777777" w:rsidR="00771086" w:rsidRPr="00DB5740" w:rsidRDefault="00771086" w:rsidP="00771086">
            <w:pPr>
              <w:autoSpaceDE w:val="0"/>
              <w:autoSpaceDN w:val="0"/>
              <w:adjustRightInd w:val="0"/>
              <w:rPr>
                <w:i/>
              </w:rPr>
            </w:pPr>
          </w:p>
        </w:tc>
        <w:tc>
          <w:tcPr>
            <w:tcW w:w="584" w:type="pct"/>
            <w:tcBorders>
              <w:top w:val="single" w:sz="4" w:space="0" w:color="auto"/>
              <w:left w:val="single" w:sz="4" w:space="0" w:color="auto"/>
              <w:bottom w:val="single" w:sz="4" w:space="0" w:color="auto"/>
              <w:right w:val="single" w:sz="4" w:space="0" w:color="auto"/>
            </w:tcBorders>
          </w:tcPr>
          <w:p w14:paraId="4F77A7F5" w14:textId="77777777" w:rsidR="00771086" w:rsidRPr="00DB5740" w:rsidRDefault="005B5528" w:rsidP="00771086">
            <w:pPr>
              <w:autoSpaceDE w:val="0"/>
              <w:autoSpaceDN w:val="0"/>
              <w:adjustRightInd w:val="0"/>
              <w:jc w:val="center"/>
            </w:pPr>
            <w:hyperlink r:id="rId108" w:anchor="229.201" w:history="1">
              <w:r w:rsidRPr="00DB5740">
                <w:rPr>
                  <w:rStyle w:val="Hyperlink"/>
                </w:rPr>
                <w:t>201(e)</w:t>
              </w:r>
            </w:hyperlink>
          </w:p>
        </w:tc>
        <w:tc>
          <w:tcPr>
            <w:tcW w:w="1907" w:type="pct"/>
            <w:tcBorders>
              <w:top w:val="single" w:sz="4" w:space="0" w:color="auto"/>
              <w:left w:val="single" w:sz="4" w:space="0" w:color="auto"/>
              <w:bottom w:val="single" w:sz="4" w:space="0" w:color="auto"/>
              <w:right w:val="single" w:sz="4" w:space="0" w:color="auto"/>
            </w:tcBorders>
          </w:tcPr>
          <w:p w14:paraId="3C734F40" w14:textId="77777777" w:rsidR="00771086" w:rsidRPr="00DB5740" w:rsidRDefault="005B5528" w:rsidP="00771086">
            <w:pPr>
              <w:autoSpaceDE w:val="0"/>
              <w:autoSpaceDN w:val="0"/>
              <w:adjustRightInd w:val="0"/>
              <w:spacing w:after="120"/>
            </w:pPr>
            <w:r w:rsidRPr="00DB5740">
              <w:rPr>
                <w:b/>
                <w:bCs/>
              </w:rPr>
              <w:t>Stock Performance Graph</w:t>
            </w:r>
          </w:p>
          <w:p w14:paraId="2EB41DA6" w14:textId="77777777" w:rsidR="00771086" w:rsidRPr="00DB5740" w:rsidRDefault="005B5528" w:rsidP="00771086">
            <w:pPr>
              <w:autoSpaceDE w:val="0"/>
              <w:autoSpaceDN w:val="0"/>
              <w:adjustRightInd w:val="0"/>
              <w:spacing w:after="120"/>
            </w:pPr>
            <w:r w:rsidRPr="00DB5740">
              <w:t xml:space="preserve">Item 201(e) and the relevant instructions require companies to include the stock performance graph in the annual report to securityholders that must accompany or precede </w:t>
            </w:r>
            <w:r w:rsidRPr="00DB5740">
              <w:t>the proxy statement.</w:t>
            </w:r>
          </w:p>
          <w:p w14:paraId="4EE22326" w14:textId="77777777" w:rsidR="00771086" w:rsidRPr="00DB5740" w:rsidRDefault="005B5528" w:rsidP="00771086">
            <w:pPr>
              <w:autoSpaceDE w:val="0"/>
              <w:autoSpaceDN w:val="0"/>
              <w:adjustRightInd w:val="0"/>
              <w:spacing w:after="120"/>
            </w:pPr>
            <w:r w:rsidRPr="00DB5740">
              <w:t xml:space="preserve">If the company includes the stock performance graph in the Form </w:t>
            </w:r>
            <w:r>
              <w:t>10</w:t>
            </w:r>
            <w:r>
              <w:noBreakHyphen/>
              <w:t>K</w:t>
            </w:r>
            <w:r w:rsidRPr="00DB5740">
              <w:t xml:space="preserve"> (or in the proxy statement), it must also include the stock performance graph in the annual report to securityholders; it cannot incorporate the stock performance gra</w:t>
            </w:r>
            <w:r w:rsidRPr="00DB5740">
              <w:t>ph by reference.</w:t>
            </w:r>
          </w:p>
          <w:p w14:paraId="546B4B56" w14:textId="77777777" w:rsidR="00771086" w:rsidRPr="00DB5740" w:rsidRDefault="005B5528" w:rsidP="00771086">
            <w:pPr>
              <w:autoSpaceDE w:val="0"/>
              <w:autoSpaceDN w:val="0"/>
              <w:adjustRightInd w:val="0"/>
              <w:spacing w:after="120"/>
            </w:pPr>
            <w:r w:rsidRPr="00DB5740">
              <w:t xml:space="preserve">The only situation in which a stock performance graph in the Form </w:t>
            </w:r>
            <w:r>
              <w:t>10</w:t>
            </w:r>
            <w:r>
              <w:noBreakHyphen/>
              <w:t>K</w:t>
            </w:r>
            <w:r w:rsidRPr="00DB5740">
              <w:t xml:space="preserve"> will satisfy Item 201(e) is where the company uses a </w:t>
            </w:r>
            <w:r>
              <w:t>“</w:t>
            </w:r>
            <w:r w:rsidRPr="00DB5740">
              <w:t>wrap</w:t>
            </w:r>
            <w:r>
              <w:t>”</w:t>
            </w:r>
            <w:r w:rsidRPr="00DB5740">
              <w:t xml:space="preserve">  approach and delivers to its securityholders both the proxy statement and the Form </w:t>
            </w:r>
            <w:r>
              <w:t>10</w:t>
            </w:r>
            <w:r>
              <w:noBreakHyphen/>
              <w:t>K</w:t>
            </w:r>
            <w:r w:rsidRPr="00DB5740">
              <w:t xml:space="preserve">, supplemented with </w:t>
            </w:r>
            <w:r w:rsidRPr="00DB5740">
              <w:t>the additional disclosure required in the annual report to securityholders, in lieu of a separate annual report to securityholders.</w:t>
            </w:r>
          </w:p>
          <w:p w14:paraId="3335F69D" w14:textId="77777777" w:rsidR="00771086" w:rsidRPr="00DB5740" w:rsidRDefault="005B5528" w:rsidP="00771086">
            <w:pPr>
              <w:autoSpaceDE w:val="0"/>
              <w:autoSpaceDN w:val="0"/>
              <w:adjustRightInd w:val="0"/>
              <w:spacing w:after="120"/>
            </w:pPr>
            <w:r w:rsidRPr="00DB5740">
              <w:t xml:space="preserve">See </w:t>
            </w:r>
            <w:hyperlink r:id="rId109" w:history="1">
              <w:r w:rsidRPr="00DB5740">
                <w:rPr>
                  <w:rStyle w:val="Hyperlink"/>
                </w:rPr>
                <w:t xml:space="preserve">SEC Regulation S-K </w:t>
              </w:r>
              <w:r>
                <w:rPr>
                  <w:rStyle w:val="Hyperlink"/>
                </w:rPr>
                <w:t>Compliance and Disclo</w:t>
              </w:r>
              <w:r>
                <w:rPr>
                  <w:rStyle w:val="Hyperlink"/>
                </w:rPr>
                <w:t>sure Interpretations (</w:t>
              </w:r>
              <w:r w:rsidRPr="00DB5740">
                <w:rPr>
                  <w:rStyle w:val="Hyperlink"/>
                </w:rPr>
                <w:t>C&amp;DI</w:t>
              </w:r>
              <w:r>
                <w:rPr>
                  <w:rStyle w:val="Hyperlink"/>
                </w:rPr>
                <w:t>s)</w:t>
              </w:r>
            </w:hyperlink>
            <w:r w:rsidRPr="00DB5740">
              <w:t>, below.</w:t>
            </w:r>
          </w:p>
        </w:tc>
        <w:tc>
          <w:tcPr>
            <w:tcW w:w="925" w:type="pct"/>
            <w:tcBorders>
              <w:top w:val="single" w:sz="4" w:space="0" w:color="auto"/>
              <w:left w:val="single" w:sz="4" w:space="0" w:color="auto"/>
              <w:bottom w:val="single" w:sz="4" w:space="0" w:color="auto"/>
              <w:right w:val="single" w:sz="4" w:space="0" w:color="auto"/>
            </w:tcBorders>
          </w:tcPr>
          <w:p w14:paraId="3842ACBE" w14:textId="77777777" w:rsidR="00771086" w:rsidRPr="00DB5740" w:rsidRDefault="00771086" w:rsidP="00771086">
            <w:pPr>
              <w:autoSpaceDE w:val="0"/>
              <w:autoSpaceDN w:val="0"/>
              <w:adjustRightInd w:val="0"/>
              <w:spacing w:after="120"/>
              <w:rPr>
                <w:sz w:val="18"/>
                <w:szCs w:val="18"/>
              </w:rPr>
            </w:pPr>
          </w:p>
        </w:tc>
        <w:tc>
          <w:tcPr>
            <w:tcW w:w="585" w:type="pct"/>
            <w:tcBorders>
              <w:top w:val="single" w:sz="4" w:space="0" w:color="auto"/>
              <w:left w:val="single" w:sz="4" w:space="0" w:color="auto"/>
              <w:bottom w:val="single" w:sz="4" w:space="0" w:color="auto"/>
              <w:right w:val="single" w:sz="4" w:space="0" w:color="auto"/>
            </w:tcBorders>
          </w:tcPr>
          <w:p w14:paraId="70E9C857" w14:textId="77777777" w:rsidR="00771086" w:rsidRPr="00DB5740" w:rsidRDefault="00771086" w:rsidP="00771086">
            <w:pPr>
              <w:autoSpaceDE w:val="0"/>
              <w:autoSpaceDN w:val="0"/>
              <w:adjustRightInd w:val="0"/>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53B7B135" w14:textId="77777777" w:rsidR="00771086" w:rsidRPr="00DB5740" w:rsidRDefault="00771086" w:rsidP="00771086">
            <w:pPr>
              <w:jc w:val="center"/>
            </w:pPr>
          </w:p>
        </w:tc>
      </w:tr>
      <w:tr w:rsidR="00000000" w14:paraId="66549A66"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71958C25" w14:textId="77777777" w:rsidR="00771086" w:rsidRPr="00DB5740" w:rsidRDefault="00771086" w:rsidP="00771086">
            <w:pPr>
              <w:autoSpaceDE w:val="0"/>
              <w:autoSpaceDN w:val="0"/>
              <w:adjustRightInd w:val="0"/>
              <w:rPr>
                <w:i/>
              </w:rPr>
            </w:pPr>
          </w:p>
        </w:tc>
        <w:tc>
          <w:tcPr>
            <w:tcW w:w="584" w:type="pct"/>
            <w:tcBorders>
              <w:top w:val="single" w:sz="4" w:space="0" w:color="auto"/>
              <w:left w:val="single" w:sz="4" w:space="0" w:color="auto"/>
              <w:bottom w:val="single" w:sz="4" w:space="0" w:color="auto"/>
              <w:right w:val="single" w:sz="4" w:space="0" w:color="auto"/>
            </w:tcBorders>
          </w:tcPr>
          <w:p w14:paraId="112E54EA" w14:textId="77777777" w:rsidR="00771086" w:rsidRPr="00DB5740" w:rsidRDefault="00771086" w:rsidP="00771086">
            <w:pPr>
              <w:autoSpaceDE w:val="0"/>
              <w:autoSpaceDN w:val="0"/>
              <w:adjustRightInd w:val="0"/>
              <w:jc w:val="center"/>
            </w:pPr>
          </w:p>
        </w:tc>
        <w:tc>
          <w:tcPr>
            <w:tcW w:w="1907" w:type="pct"/>
            <w:tcBorders>
              <w:top w:val="single" w:sz="4" w:space="0" w:color="auto"/>
              <w:left w:val="single" w:sz="4" w:space="0" w:color="auto"/>
              <w:bottom w:val="single" w:sz="4" w:space="0" w:color="auto"/>
              <w:right w:val="single" w:sz="4" w:space="0" w:color="auto"/>
            </w:tcBorders>
          </w:tcPr>
          <w:p w14:paraId="397C5705" w14:textId="77777777" w:rsidR="00771086" w:rsidRPr="00DB5740" w:rsidRDefault="005B5528" w:rsidP="00771086">
            <w:pPr>
              <w:autoSpaceDE w:val="0"/>
              <w:autoSpaceDN w:val="0"/>
              <w:adjustRightInd w:val="0"/>
              <w:spacing w:after="120"/>
              <w:rPr>
                <w:b/>
                <w:bCs/>
              </w:rPr>
            </w:pPr>
            <w:r w:rsidRPr="00DB5740">
              <w:rPr>
                <w:b/>
                <w:bCs/>
              </w:rPr>
              <w:t xml:space="preserve">SEC </w:t>
            </w:r>
            <w:hyperlink r:id="rId110" w:history="1">
              <w:r w:rsidRPr="00DB5740">
                <w:rPr>
                  <w:rStyle w:val="Hyperlink"/>
                  <w:b/>
                  <w:bCs/>
                </w:rPr>
                <w:t>Guidance on Performance Graph</w:t>
              </w:r>
            </w:hyperlink>
          </w:p>
          <w:p w14:paraId="722335A0" w14:textId="77777777" w:rsidR="00771086" w:rsidRPr="00AF344A" w:rsidRDefault="005B5528" w:rsidP="00771086">
            <w:pPr>
              <w:autoSpaceDE w:val="0"/>
              <w:autoSpaceDN w:val="0"/>
              <w:adjustRightInd w:val="0"/>
              <w:spacing w:after="120"/>
              <w:rPr>
                <w:b/>
                <w:bCs/>
                <w:sz w:val="21"/>
                <w:szCs w:val="21"/>
              </w:rPr>
            </w:pPr>
            <w:r w:rsidRPr="00AF344A">
              <w:rPr>
                <w:b/>
                <w:bCs/>
                <w:sz w:val="21"/>
                <w:szCs w:val="21"/>
              </w:rPr>
              <w:t>5. Item 201(e) – Performance graph</w:t>
            </w:r>
          </w:p>
          <w:p w14:paraId="4BCD4105" w14:textId="77777777" w:rsidR="00771086" w:rsidRPr="00DB5740" w:rsidRDefault="005B5528" w:rsidP="00771086">
            <w:pPr>
              <w:autoSpaceDE w:val="0"/>
              <w:autoSpaceDN w:val="0"/>
              <w:adjustRightInd w:val="0"/>
              <w:spacing w:after="120"/>
              <w:rPr>
                <w:sz w:val="21"/>
                <w:szCs w:val="21"/>
              </w:rPr>
            </w:pPr>
            <w:r w:rsidRPr="00DB5740">
              <w:rPr>
                <w:sz w:val="21"/>
                <w:szCs w:val="21"/>
              </w:rPr>
              <w:t>Question 5.05.  Question: Is the performance graph required to</w:t>
            </w:r>
            <w:r w:rsidRPr="00DB5740">
              <w:rPr>
                <w:sz w:val="21"/>
                <w:szCs w:val="21"/>
              </w:rPr>
              <w:t xml:space="preserve"> be included in Form </w:t>
            </w:r>
            <w:r>
              <w:rPr>
                <w:sz w:val="21"/>
                <w:szCs w:val="21"/>
              </w:rPr>
              <w:t>10</w:t>
            </w:r>
            <w:r>
              <w:rPr>
                <w:sz w:val="21"/>
                <w:szCs w:val="21"/>
              </w:rPr>
              <w:noBreakHyphen/>
              <w:t>K</w:t>
            </w:r>
            <w:r w:rsidRPr="00DB5740">
              <w:rPr>
                <w:sz w:val="21"/>
                <w:szCs w:val="21"/>
              </w:rPr>
              <w:t>, given</w:t>
            </w:r>
            <w:r>
              <w:rPr>
                <w:sz w:val="21"/>
                <w:szCs w:val="21"/>
              </w:rPr>
              <w:t xml:space="preserve"> that </w:t>
            </w:r>
            <w:r w:rsidRPr="00DB5740">
              <w:rPr>
                <w:sz w:val="21"/>
                <w:szCs w:val="21"/>
              </w:rPr>
              <w:t>Ite</w:t>
            </w:r>
            <w:r>
              <w:rPr>
                <w:sz w:val="21"/>
                <w:szCs w:val="21"/>
              </w:rPr>
              <w:t>m</w:t>
            </w:r>
            <w:r w:rsidRPr="00DB5740">
              <w:rPr>
                <w:sz w:val="21"/>
                <w:szCs w:val="21"/>
              </w:rPr>
              <w:t xml:space="preserve"> 5 of Form </w:t>
            </w:r>
            <w:r>
              <w:rPr>
                <w:sz w:val="21"/>
                <w:szCs w:val="21"/>
              </w:rPr>
              <w:t>10</w:t>
            </w:r>
            <w:r>
              <w:rPr>
                <w:sz w:val="21"/>
                <w:szCs w:val="21"/>
              </w:rPr>
              <w:noBreakHyphen/>
              <w:t>K</w:t>
            </w:r>
            <w:r w:rsidRPr="00DB5740">
              <w:rPr>
                <w:sz w:val="21"/>
                <w:szCs w:val="21"/>
              </w:rPr>
              <w:t xml:space="preserve"> indicates that the registrant is required to furnish the information required under Item 201? </w:t>
            </w:r>
          </w:p>
          <w:p w14:paraId="1C444D70" w14:textId="77777777" w:rsidR="00771086" w:rsidRPr="00DB5740" w:rsidRDefault="005B5528" w:rsidP="00771086">
            <w:pPr>
              <w:autoSpaceDE w:val="0"/>
              <w:autoSpaceDN w:val="0"/>
              <w:adjustRightInd w:val="0"/>
              <w:spacing w:after="120"/>
              <w:rPr>
                <w:sz w:val="21"/>
                <w:szCs w:val="21"/>
              </w:rPr>
            </w:pPr>
            <w:r w:rsidRPr="00DB5740">
              <w:rPr>
                <w:sz w:val="21"/>
                <w:szCs w:val="21"/>
              </w:rPr>
              <w:t>Answer: No. Instruction 7 to Item 201(e) specifies that the performance graph need not be provided in a</w:t>
            </w:r>
            <w:r w:rsidRPr="00DB5740">
              <w:rPr>
                <w:sz w:val="21"/>
                <w:szCs w:val="21"/>
              </w:rPr>
              <w:t>ny filings other than an annual report to security holders required by Exchange Act Rule 14a-3 or Exchange Act Rule 14c-3 that precedes or accompanies a registrant</w:t>
            </w:r>
            <w:r>
              <w:rPr>
                <w:sz w:val="21"/>
                <w:szCs w:val="21"/>
              </w:rPr>
              <w:t>’</w:t>
            </w:r>
            <w:r w:rsidRPr="00DB5740">
              <w:rPr>
                <w:sz w:val="21"/>
                <w:szCs w:val="21"/>
              </w:rPr>
              <w:t>s proxy statement or information statement relating to an annual meeting of security holders</w:t>
            </w:r>
            <w:r w:rsidRPr="00DB5740">
              <w:rPr>
                <w:sz w:val="21"/>
                <w:szCs w:val="21"/>
              </w:rPr>
              <w:t xml:space="preserve"> at which directors are to be elected (or a special meeting or written consents in lieu of such meeting).  [March 13, 2007]</w:t>
            </w:r>
          </w:p>
          <w:p w14:paraId="035B7564" w14:textId="77777777" w:rsidR="00771086" w:rsidRPr="00DB5740" w:rsidRDefault="005B5528" w:rsidP="00771086">
            <w:pPr>
              <w:autoSpaceDE w:val="0"/>
              <w:autoSpaceDN w:val="0"/>
              <w:adjustRightInd w:val="0"/>
              <w:spacing w:after="120"/>
              <w:rPr>
                <w:sz w:val="21"/>
                <w:szCs w:val="21"/>
              </w:rPr>
            </w:pPr>
            <w:r w:rsidRPr="00DB5740">
              <w:rPr>
                <w:sz w:val="21"/>
                <w:szCs w:val="21"/>
              </w:rPr>
              <w:t xml:space="preserve">Question 5.06.  Question: If a company includes the performance graph in its Form </w:t>
            </w:r>
            <w:r>
              <w:rPr>
                <w:sz w:val="21"/>
                <w:szCs w:val="21"/>
              </w:rPr>
              <w:t>10</w:t>
            </w:r>
            <w:r>
              <w:rPr>
                <w:sz w:val="21"/>
                <w:szCs w:val="21"/>
              </w:rPr>
              <w:noBreakHyphen/>
              <w:t>K</w:t>
            </w:r>
            <w:r w:rsidRPr="00DB5740">
              <w:rPr>
                <w:sz w:val="21"/>
                <w:szCs w:val="21"/>
              </w:rPr>
              <w:t>, can the company omit the performance graph f</w:t>
            </w:r>
            <w:r w:rsidRPr="00DB5740">
              <w:rPr>
                <w:sz w:val="21"/>
                <w:szCs w:val="21"/>
              </w:rPr>
              <w:t>rom its annual report to shareholders required under Exchange Act Rule 14a-3 or Rule 14c-3?</w:t>
            </w:r>
          </w:p>
          <w:p w14:paraId="66B33D8A" w14:textId="77777777" w:rsidR="00771086" w:rsidRPr="00DB5740" w:rsidRDefault="005B5528" w:rsidP="00771086">
            <w:pPr>
              <w:autoSpaceDE w:val="0"/>
              <w:autoSpaceDN w:val="0"/>
              <w:adjustRightInd w:val="0"/>
              <w:spacing w:after="120"/>
              <w:rPr>
                <w:sz w:val="21"/>
                <w:szCs w:val="21"/>
              </w:rPr>
            </w:pPr>
            <w:r w:rsidRPr="00DB5740">
              <w:rPr>
                <w:sz w:val="21"/>
                <w:szCs w:val="21"/>
              </w:rPr>
              <w:t>Answer: The performance graph is required to be in the annual report to shareholders pursuant to Exchange Act Rule 14a-3 or Rule 14c-3, so unless the company is usi</w:t>
            </w:r>
            <w:r w:rsidRPr="00DB5740">
              <w:rPr>
                <w:sz w:val="21"/>
                <w:szCs w:val="21"/>
              </w:rPr>
              <w:t xml:space="preserve">ng a </w:t>
            </w:r>
            <w:r>
              <w:rPr>
                <w:sz w:val="21"/>
                <w:szCs w:val="21"/>
              </w:rPr>
              <w:t>“</w:t>
            </w:r>
            <w:r w:rsidRPr="00DB5740">
              <w:rPr>
                <w:sz w:val="21"/>
                <w:szCs w:val="21"/>
              </w:rPr>
              <w:t xml:space="preserve">Form </w:t>
            </w:r>
            <w:r>
              <w:rPr>
                <w:sz w:val="21"/>
                <w:szCs w:val="21"/>
              </w:rPr>
              <w:t>10</w:t>
            </w:r>
            <w:r>
              <w:rPr>
                <w:sz w:val="21"/>
                <w:szCs w:val="21"/>
              </w:rPr>
              <w:noBreakHyphen/>
              <w:t>K</w:t>
            </w:r>
            <w:r w:rsidRPr="00DB5740">
              <w:rPr>
                <w:sz w:val="21"/>
                <w:szCs w:val="21"/>
              </w:rPr>
              <w:t xml:space="preserve"> wrap</w:t>
            </w:r>
            <w:r>
              <w:rPr>
                <w:sz w:val="21"/>
                <w:szCs w:val="21"/>
              </w:rPr>
              <w:t>”</w:t>
            </w:r>
            <w:r w:rsidRPr="00DB5740">
              <w:rPr>
                <w:sz w:val="21"/>
                <w:szCs w:val="21"/>
              </w:rPr>
              <w:t xml:space="preserve"> approach to satisfy the requirements of Rule 14a-3 or Rule 14c-3, the inclusion of the performance graph in the Form </w:t>
            </w:r>
            <w:r>
              <w:rPr>
                <w:sz w:val="21"/>
                <w:szCs w:val="21"/>
              </w:rPr>
              <w:t>10</w:t>
            </w:r>
            <w:r>
              <w:rPr>
                <w:sz w:val="21"/>
                <w:szCs w:val="21"/>
              </w:rPr>
              <w:noBreakHyphen/>
              <w:t>K</w:t>
            </w:r>
            <w:r w:rsidRPr="00DB5740">
              <w:rPr>
                <w:sz w:val="21"/>
                <w:szCs w:val="21"/>
              </w:rPr>
              <w:t xml:space="preserve"> would not satisfy these requirements.  [March 13, 2007]</w:t>
            </w:r>
          </w:p>
          <w:p w14:paraId="054CCA87" w14:textId="77777777" w:rsidR="00771086" w:rsidRPr="00DB5740" w:rsidRDefault="005B5528" w:rsidP="00771086">
            <w:pPr>
              <w:autoSpaceDE w:val="0"/>
              <w:autoSpaceDN w:val="0"/>
              <w:adjustRightInd w:val="0"/>
              <w:spacing w:after="120"/>
              <w:rPr>
                <w:sz w:val="21"/>
                <w:szCs w:val="21"/>
              </w:rPr>
            </w:pPr>
            <w:r w:rsidRPr="00DB5740">
              <w:rPr>
                <w:sz w:val="21"/>
                <w:szCs w:val="21"/>
              </w:rPr>
              <w:t>Question 5.07.  Question: May a registrant include the p</w:t>
            </w:r>
            <w:r w:rsidRPr="00DB5740">
              <w:rPr>
                <w:sz w:val="21"/>
                <w:szCs w:val="21"/>
              </w:rPr>
              <w:t xml:space="preserve">erformance graph in the proxy statement? </w:t>
            </w:r>
          </w:p>
          <w:p w14:paraId="6E024607" w14:textId="77777777" w:rsidR="00771086" w:rsidRPr="00DB5740" w:rsidRDefault="005B5528" w:rsidP="00771086">
            <w:pPr>
              <w:autoSpaceDE w:val="0"/>
              <w:autoSpaceDN w:val="0"/>
              <w:adjustRightInd w:val="0"/>
              <w:spacing w:after="120"/>
              <w:rPr>
                <w:b/>
                <w:bCs/>
              </w:rPr>
            </w:pPr>
            <w:r w:rsidRPr="00DB5740">
              <w:rPr>
                <w:sz w:val="21"/>
                <w:szCs w:val="21"/>
              </w:rPr>
              <w:t>Answer: Yes, provided that the performance graph is also included in the annual report that accompanies or precedes the proxy statement and therefore complies with Exchange Act Rules 14a-3 or 14c-3. [March 13, 2007</w:t>
            </w:r>
            <w:r w:rsidRPr="00DB5740">
              <w:rPr>
                <w:sz w:val="21"/>
                <w:szCs w:val="21"/>
              </w:rPr>
              <w:t>]</w:t>
            </w:r>
          </w:p>
        </w:tc>
        <w:tc>
          <w:tcPr>
            <w:tcW w:w="925" w:type="pct"/>
            <w:tcBorders>
              <w:top w:val="single" w:sz="4" w:space="0" w:color="auto"/>
              <w:left w:val="single" w:sz="4" w:space="0" w:color="auto"/>
              <w:bottom w:val="single" w:sz="4" w:space="0" w:color="auto"/>
              <w:right w:val="single" w:sz="4" w:space="0" w:color="auto"/>
            </w:tcBorders>
          </w:tcPr>
          <w:p w14:paraId="68456217" w14:textId="77777777" w:rsidR="00771086" w:rsidRPr="00DB5740" w:rsidRDefault="00771086" w:rsidP="00771086">
            <w:pPr>
              <w:autoSpaceDE w:val="0"/>
              <w:autoSpaceDN w:val="0"/>
              <w:adjustRightInd w:val="0"/>
              <w:spacing w:after="120"/>
              <w:rPr>
                <w:sz w:val="18"/>
                <w:szCs w:val="18"/>
              </w:rPr>
            </w:pPr>
          </w:p>
        </w:tc>
        <w:tc>
          <w:tcPr>
            <w:tcW w:w="585" w:type="pct"/>
            <w:tcBorders>
              <w:top w:val="single" w:sz="4" w:space="0" w:color="auto"/>
              <w:left w:val="single" w:sz="4" w:space="0" w:color="auto"/>
              <w:bottom w:val="single" w:sz="4" w:space="0" w:color="auto"/>
              <w:right w:val="single" w:sz="4" w:space="0" w:color="auto"/>
            </w:tcBorders>
          </w:tcPr>
          <w:p w14:paraId="48D10DC2" w14:textId="77777777" w:rsidR="00771086" w:rsidRPr="00DB5740" w:rsidRDefault="00771086" w:rsidP="00771086">
            <w:pPr>
              <w:autoSpaceDE w:val="0"/>
              <w:autoSpaceDN w:val="0"/>
              <w:adjustRightInd w:val="0"/>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1709998E" w14:textId="77777777" w:rsidR="00771086" w:rsidRPr="00DB5740" w:rsidRDefault="00771086" w:rsidP="00771086">
            <w:pPr>
              <w:jc w:val="center"/>
            </w:pPr>
          </w:p>
        </w:tc>
      </w:tr>
      <w:tr w:rsidR="00000000" w14:paraId="6F3676F6"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56B435A3" w14:textId="77777777" w:rsidR="00771086" w:rsidRPr="00DB5740" w:rsidRDefault="005B5528" w:rsidP="00771086">
            <w:pPr>
              <w:autoSpaceDE w:val="0"/>
              <w:autoSpaceDN w:val="0"/>
              <w:adjustRightInd w:val="0"/>
            </w:pPr>
            <w:r w:rsidRPr="00DB5740">
              <w:lastRenderedPageBreak/>
              <w:t>Item 5. M</w:t>
            </w:r>
            <w:r>
              <w:t>a</w:t>
            </w:r>
            <w:r w:rsidRPr="00DB5740">
              <w:t>rket for Registrant</w:t>
            </w:r>
            <w:r>
              <w:t>’</w:t>
            </w:r>
            <w:r w:rsidRPr="00DB5740">
              <w:t xml:space="preserve">s Common Equity, Related Stockholder Matters and Issuer Purchases of Equity Securities </w:t>
            </w:r>
          </w:p>
          <w:p w14:paraId="5A7A8E59" w14:textId="77777777" w:rsidR="00771086" w:rsidRPr="00DB5740" w:rsidRDefault="00771086" w:rsidP="00771086">
            <w:pPr>
              <w:autoSpaceDE w:val="0"/>
              <w:autoSpaceDN w:val="0"/>
              <w:adjustRightInd w:val="0"/>
            </w:pPr>
          </w:p>
          <w:p w14:paraId="2AB3C7E5" w14:textId="77777777" w:rsidR="00771086" w:rsidRPr="00DB5740" w:rsidRDefault="005B5528" w:rsidP="00771086">
            <w:pPr>
              <w:autoSpaceDE w:val="0"/>
              <w:autoSpaceDN w:val="0"/>
              <w:adjustRightInd w:val="0"/>
            </w:pPr>
            <w:r w:rsidRPr="00DB5740">
              <w:t>Item 5(b)</w:t>
            </w:r>
          </w:p>
        </w:tc>
        <w:tc>
          <w:tcPr>
            <w:tcW w:w="584" w:type="pct"/>
            <w:tcBorders>
              <w:top w:val="single" w:sz="4" w:space="0" w:color="auto"/>
              <w:left w:val="single" w:sz="4" w:space="0" w:color="auto"/>
              <w:bottom w:val="single" w:sz="4" w:space="0" w:color="auto"/>
              <w:right w:val="single" w:sz="4" w:space="0" w:color="auto"/>
            </w:tcBorders>
          </w:tcPr>
          <w:p w14:paraId="4E0874AE" w14:textId="77777777" w:rsidR="00771086" w:rsidRPr="00DB5740" w:rsidRDefault="005B5528" w:rsidP="00771086">
            <w:pPr>
              <w:autoSpaceDE w:val="0"/>
              <w:autoSpaceDN w:val="0"/>
              <w:adjustRightInd w:val="0"/>
              <w:jc w:val="center"/>
            </w:pPr>
            <w:hyperlink r:id="rId111" w:anchor="229.701" w:history="1">
              <w:r w:rsidRPr="00DB5740">
                <w:rPr>
                  <w:rStyle w:val="Hyperlink"/>
                </w:rPr>
                <w:t>701(f)</w:t>
              </w:r>
            </w:hyperlink>
          </w:p>
        </w:tc>
        <w:tc>
          <w:tcPr>
            <w:tcW w:w="1907" w:type="pct"/>
            <w:tcBorders>
              <w:top w:val="single" w:sz="4" w:space="0" w:color="auto"/>
              <w:left w:val="single" w:sz="4" w:space="0" w:color="auto"/>
              <w:bottom w:val="single" w:sz="4" w:space="0" w:color="auto"/>
              <w:right w:val="single" w:sz="4" w:space="0" w:color="auto"/>
            </w:tcBorders>
          </w:tcPr>
          <w:p w14:paraId="357124E8" w14:textId="77777777" w:rsidR="00771086" w:rsidRPr="00DB5740" w:rsidRDefault="005B5528" w:rsidP="00771086">
            <w:pPr>
              <w:autoSpaceDE w:val="0"/>
              <w:autoSpaceDN w:val="0"/>
              <w:adjustRightInd w:val="0"/>
              <w:spacing w:after="120"/>
            </w:pPr>
            <w:r w:rsidRPr="00DB5740">
              <w:rPr>
                <w:b/>
                <w:bCs/>
              </w:rPr>
              <w:t xml:space="preserve">Use of IPO Proceeds </w:t>
            </w:r>
          </w:p>
          <w:p w14:paraId="50A1AF1F" w14:textId="77777777" w:rsidR="00771086" w:rsidRPr="00DB5740" w:rsidRDefault="005B5528" w:rsidP="00771086">
            <w:pPr>
              <w:autoSpaceDE w:val="0"/>
              <w:autoSpaceDN w:val="0"/>
              <w:adjustRightInd w:val="0"/>
              <w:spacing w:after="120"/>
            </w:pPr>
            <w:r w:rsidRPr="00DB5740">
              <w:t xml:space="preserve">Item </w:t>
            </w:r>
            <w:r w:rsidRPr="00DB5740">
              <w:t xml:space="preserve">701(f) and Securities Act Rule 463 require that a company shall report the use of proceeds from the offering made pursuant to its first registration statement filed under the Securities Act in each Form </w:t>
            </w:r>
            <w:r>
              <w:t>10</w:t>
            </w:r>
            <w:r>
              <w:noBreakHyphen/>
              <w:t>K</w:t>
            </w:r>
            <w:r w:rsidRPr="00DB5740">
              <w:t xml:space="preserve"> or Form 10-Q following the effective date of the</w:t>
            </w:r>
            <w:r w:rsidRPr="00DB5740">
              <w:t xml:space="preserve"> registration statement until the earlier of the company has applied all of the offering proceeds or the termination of the offering has been disclosed.</w:t>
            </w:r>
          </w:p>
          <w:p w14:paraId="65C8261B" w14:textId="77777777" w:rsidR="00771086" w:rsidRPr="00DB5740" w:rsidRDefault="005B5528" w:rsidP="00771086">
            <w:pPr>
              <w:autoSpaceDE w:val="0"/>
              <w:autoSpaceDN w:val="0"/>
              <w:adjustRightInd w:val="0"/>
              <w:spacing w:after="120"/>
            </w:pPr>
            <w:r w:rsidRPr="00DB5740">
              <w:t>Confirm that use of proceeds disclosure is included in Item 5, if required.</w:t>
            </w:r>
          </w:p>
        </w:tc>
        <w:tc>
          <w:tcPr>
            <w:tcW w:w="925" w:type="pct"/>
            <w:tcBorders>
              <w:top w:val="single" w:sz="4" w:space="0" w:color="auto"/>
              <w:left w:val="single" w:sz="4" w:space="0" w:color="auto"/>
              <w:bottom w:val="single" w:sz="4" w:space="0" w:color="auto"/>
              <w:right w:val="single" w:sz="4" w:space="0" w:color="auto"/>
            </w:tcBorders>
          </w:tcPr>
          <w:p w14:paraId="4A6ABE96" w14:textId="77777777" w:rsidR="00771086" w:rsidRPr="00DB5740" w:rsidRDefault="00771086" w:rsidP="00771086">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7C1E6617" w14:textId="77777777" w:rsidR="00771086" w:rsidRPr="00DB5740" w:rsidRDefault="00771086" w:rsidP="00771086">
            <w:pPr>
              <w:autoSpaceDE w:val="0"/>
              <w:autoSpaceDN w:val="0"/>
              <w:adjustRightInd w:val="0"/>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353F8C3F"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61F42B85"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24BDC793"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177EBFEB" w14:textId="77777777" w:rsidR="00771086" w:rsidRPr="00DB5740" w:rsidRDefault="005B5528" w:rsidP="00771086">
            <w:pPr>
              <w:autoSpaceDE w:val="0"/>
              <w:autoSpaceDN w:val="0"/>
              <w:adjustRightInd w:val="0"/>
            </w:pPr>
            <w:r w:rsidRPr="00DB5740">
              <w:t>Item 5. Mark</w:t>
            </w:r>
            <w:r w:rsidRPr="00DB5740">
              <w:t>et for Registrant</w:t>
            </w:r>
            <w:r>
              <w:t>’</w:t>
            </w:r>
            <w:r w:rsidRPr="00DB5740">
              <w:t xml:space="preserve">s Common Equity, Related Stockholder Matters and Issuer Purchases of Equity Securities </w:t>
            </w:r>
          </w:p>
          <w:p w14:paraId="74955A48" w14:textId="77777777" w:rsidR="00771086" w:rsidRPr="00DB5740" w:rsidRDefault="00771086" w:rsidP="00771086">
            <w:pPr>
              <w:autoSpaceDE w:val="0"/>
              <w:autoSpaceDN w:val="0"/>
              <w:adjustRightInd w:val="0"/>
            </w:pPr>
          </w:p>
          <w:p w14:paraId="20B57A0A" w14:textId="77777777" w:rsidR="00771086" w:rsidRPr="00DB5740" w:rsidRDefault="005B5528" w:rsidP="00771086">
            <w:pPr>
              <w:autoSpaceDE w:val="0"/>
              <w:autoSpaceDN w:val="0"/>
              <w:adjustRightInd w:val="0"/>
            </w:pPr>
            <w:r w:rsidRPr="00DB5740">
              <w:t>Item 5(c)</w:t>
            </w:r>
          </w:p>
          <w:p w14:paraId="6D178B1A" w14:textId="77777777" w:rsidR="00771086" w:rsidRPr="00DB5740" w:rsidRDefault="00771086" w:rsidP="00771086">
            <w:pPr>
              <w:autoSpaceDE w:val="0"/>
              <w:autoSpaceDN w:val="0"/>
              <w:adjustRightInd w:val="0"/>
            </w:pPr>
          </w:p>
          <w:p w14:paraId="3B404A80" w14:textId="77777777" w:rsidR="00771086" w:rsidRPr="00DB5740" w:rsidRDefault="005B5528" w:rsidP="00771086">
            <w:pPr>
              <w:autoSpaceDE w:val="0"/>
              <w:autoSpaceDN w:val="0"/>
              <w:adjustRightInd w:val="0"/>
              <w:rPr>
                <w:b/>
                <w:bCs/>
                <w:i/>
                <w:iCs/>
                <w:color w:val="FF0000"/>
              </w:rPr>
            </w:pPr>
            <w:r w:rsidRPr="00DB5740">
              <w:t>[Issuer Stock Repurchases]</w:t>
            </w:r>
            <w:r w:rsidRPr="00DB5740">
              <w:rPr>
                <w:b/>
                <w:bCs/>
                <w:i/>
                <w:iCs/>
                <w:color w:val="FF0000"/>
              </w:rPr>
              <w:t xml:space="preserve"> </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C76D343" w14:textId="77777777" w:rsidR="00771086" w:rsidRPr="00DB5740" w:rsidRDefault="005B5528" w:rsidP="00771086">
            <w:pPr>
              <w:autoSpaceDE w:val="0"/>
              <w:autoSpaceDN w:val="0"/>
              <w:adjustRightInd w:val="0"/>
              <w:jc w:val="center"/>
            </w:pPr>
            <w:hyperlink r:id="rId112" w:anchor="229.703" w:history="1">
              <w:r w:rsidRPr="00DB5740">
                <w:rPr>
                  <w:rStyle w:val="Hyperlink"/>
                </w:rPr>
                <w:t>703</w:t>
              </w:r>
            </w:hyperlink>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6593851C" w14:textId="77777777" w:rsidR="00771086" w:rsidRPr="00DB5740" w:rsidRDefault="005B5528" w:rsidP="00771086">
            <w:pPr>
              <w:autoSpaceDE w:val="0"/>
              <w:autoSpaceDN w:val="0"/>
              <w:adjustRightInd w:val="0"/>
              <w:spacing w:after="120"/>
              <w:rPr>
                <w:szCs w:val="24"/>
              </w:rPr>
            </w:pPr>
            <w:r w:rsidRPr="00DB5740">
              <w:rPr>
                <w:szCs w:val="24"/>
              </w:rPr>
              <w:t>Companies must inc</w:t>
            </w:r>
            <w:r w:rsidRPr="00DB5740">
              <w:rPr>
                <w:szCs w:val="24"/>
              </w:rPr>
              <w:t>lude a table disclosing information about repurchases of any equity securities registered under Section 12 of the Exchange Act, including, among other things:</w:t>
            </w:r>
          </w:p>
          <w:p w14:paraId="67665FDB" w14:textId="77777777" w:rsidR="00771086" w:rsidRPr="00DB5740" w:rsidRDefault="005B5528" w:rsidP="00BF3B62">
            <w:pPr>
              <w:pStyle w:val="ListBullet"/>
            </w:pPr>
            <w:r w:rsidRPr="00DB5740">
              <w:t>the total number of shares (or units) repurchased, reported on a monthly basis (fourth quarter on</w:t>
            </w:r>
            <w:r w:rsidRPr="00DB5740">
              <w:t>ly for Form </w:t>
            </w:r>
            <w:r>
              <w:t>10</w:t>
            </w:r>
            <w:r>
              <w:noBreakHyphen/>
              <w:t>K</w:t>
            </w:r>
            <w:r w:rsidRPr="00DB5740">
              <w:t xml:space="preserve"> reports);</w:t>
            </w:r>
          </w:p>
          <w:p w14:paraId="5D7848D9" w14:textId="77777777" w:rsidR="00771086" w:rsidRPr="00DB5740" w:rsidRDefault="005B5528" w:rsidP="00BF3B62">
            <w:pPr>
              <w:pStyle w:val="ListBullet"/>
            </w:pPr>
            <w:r w:rsidRPr="00DB5740">
              <w:t>the average price paid per share (or unit);</w:t>
            </w:r>
          </w:p>
          <w:p w14:paraId="6A8F8312" w14:textId="77777777" w:rsidR="00771086" w:rsidRPr="00DB5740" w:rsidRDefault="005B5528" w:rsidP="00BF3B62">
            <w:pPr>
              <w:pStyle w:val="ListBullet"/>
            </w:pPr>
            <w:r w:rsidRPr="00DB5740">
              <w:t>the total number of shares (or units) that were repurchased as part of publicly announced plans or programs; and</w:t>
            </w:r>
          </w:p>
          <w:p w14:paraId="1EA44C5E" w14:textId="77777777" w:rsidR="00771086" w:rsidRPr="00DB5740" w:rsidRDefault="005B5528" w:rsidP="00BF3B62">
            <w:pPr>
              <w:pStyle w:val="ListBullet"/>
            </w:pPr>
            <w:r w:rsidRPr="00DB5740">
              <w:t>the maximum number (or approximate dollar value) of shares (or units) th</w:t>
            </w:r>
            <w:r w:rsidRPr="00DB5740">
              <w:t xml:space="preserve">at may yet be purchased under the plans or programs. </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20126B2C" w14:textId="77777777" w:rsidR="00771086" w:rsidRPr="00DB5740" w:rsidRDefault="00771086" w:rsidP="00771086">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7DA63339" w14:textId="77777777" w:rsidR="00771086" w:rsidRPr="00DB5740" w:rsidRDefault="00771086" w:rsidP="00BF3B62">
            <w:pPr>
              <w:pStyle w:val="ListBullet"/>
              <w:numPr>
                <w:ilvl w:val="0"/>
                <w:numId w:val="0"/>
              </w:numPr>
              <w:ind w:left="778"/>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81368"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0CDD66CF"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358AB23A"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1F9E2AF8" w14:textId="77777777" w:rsidR="00771086" w:rsidRPr="00DB5740" w:rsidRDefault="00771086" w:rsidP="00771086">
            <w:pPr>
              <w:autoSpaceDE w:val="0"/>
              <w:autoSpaceDN w:val="0"/>
              <w:adjustRightInd w:val="0"/>
              <w:rPr>
                <w:b/>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11E33A66" w14:textId="77777777" w:rsidR="00771086" w:rsidRPr="00DB5740" w:rsidRDefault="005B5528" w:rsidP="00771086">
            <w:pPr>
              <w:autoSpaceDE w:val="0"/>
              <w:autoSpaceDN w:val="0"/>
              <w:adjustRightInd w:val="0"/>
              <w:jc w:val="center"/>
            </w:pPr>
            <w:hyperlink r:id="rId113" w:anchor="229.703" w:history="1">
              <w:r w:rsidRPr="00DB5740">
                <w:rPr>
                  <w:rStyle w:val="Hyperlink"/>
                </w:rPr>
                <w:t>703</w:t>
              </w:r>
            </w:hyperlink>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55440769" w14:textId="77777777" w:rsidR="00771086" w:rsidRPr="00DB5740" w:rsidRDefault="005B5528" w:rsidP="00771086">
            <w:pPr>
              <w:autoSpaceDE w:val="0"/>
              <w:autoSpaceDN w:val="0"/>
              <w:adjustRightInd w:val="0"/>
              <w:spacing w:after="120"/>
              <w:rPr>
                <w:szCs w:val="24"/>
              </w:rPr>
            </w:pPr>
            <w:r w:rsidRPr="00DB5740">
              <w:t xml:space="preserve">Companies must also disclose in footnotes to </w:t>
            </w:r>
            <w:r w:rsidRPr="00DB5740">
              <w:rPr>
                <w:szCs w:val="24"/>
              </w:rPr>
              <w:t>the share repurchase table:</w:t>
            </w:r>
          </w:p>
          <w:p w14:paraId="2DDD355E" w14:textId="77777777" w:rsidR="00771086" w:rsidRPr="00DB5740" w:rsidRDefault="005B5528" w:rsidP="00BF3B62">
            <w:pPr>
              <w:pStyle w:val="ListBullet"/>
            </w:pPr>
            <w:r w:rsidRPr="00DB5740">
              <w:t xml:space="preserve">the number of shares </w:t>
            </w:r>
            <w:r w:rsidRPr="00DB5740">
              <w:t>repurchased other than through a publicly announced plan or program, and the nature of the transaction(s) (for example, open market, privately negotiated, tender offer, pursuant to put obligations); and</w:t>
            </w:r>
          </w:p>
          <w:p w14:paraId="1A55120B" w14:textId="77777777" w:rsidR="00771086" w:rsidRPr="00DB5740" w:rsidRDefault="005B5528" w:rsidP="00BF3B62">
            <w:pPr>
              <w:pStyle w:val="ListBullet"/>
            </w:pPr>
            <w:r w:rsidRPr="00DB5740">
              <w:t xml:space="preserve">the principal terms of publicly announced repurchase </w:t>
            </w:r>
            <w:r w:rsidRPr="00DB5740">
              <w:t>plans or programs, including:</w:t>
            </w:r>
          </w:p>
          <w:p w14:paraId="4CA200FE" w14:textId="77777777" w:rsidR="00771086" w:rsidRPr="00DB5740" w:rsidRDefault="005B5528" w:rsidP="00BF3B62">
            <w:pPr>
              <w:pStyle w:val="ListBullet"/>
            </w:pPr>
            <w:r w:rsidRPr="00DB5740">
              <w:t>the date of announcement;</w:t>
            </w:r>
          </w:p>
          <w:p w14:paraId="7E0CF7AC" w14:textId="77777777" w:rsidR="00771086" w:rsidRPr="00DB5740" w:rsidRDefault="005B5528" w:rsidP="00BF3B62">
            <w:pPr>
              <w:pStyle w:val="ListBullet"/>
            </w:pPr>
            <w:r w:rsidRPr="00DB5740">
              <w:t xml:space="preserve">the dollar (or share or unit) amount approved; </w:t>
            </w:r>
          </w:p>
          <w:p w14:paraId="528674CC" w14:textId="77777777" w:rsidR="00771086" w:rsidRPr="00DB5740" w:rsidRDefault="005B5528" w:rsidP="00BF3B62">
            <w:pPr>
              <w:pStyle w:val="ListBullet"/>
            </w:pPr>
            <w:r w:rsidRPr="00DB5740">
              <w:t>the expiration date (if any) of each plan or program;</w:t>
            </w:r>
          </w:p>
          <w:p w14:paraId="0B3BA4EF" w14:textId="77777777" w:rsidR="00771086" w:rsidRPr="00DB5740" w:rsidRDefault="005B5528" w:rsidP="00BF3B62">
            <w:pPr>
              <w:pStyle w:val="ListBullet"/>
            </w:pPr>
            <w:r w:rsidRPr="00DB5740">
              <w:t>each plan or program that has expired during the period covered by the table; and</w:t>
            </w:r>
          </w:p>
          <w:p w14:paraId="0A330ABE" w14:textId="77777777" w:rsidR="00771086" w:rsidRPr="00DB5740" w:rsidRDefault="005B5528" w:rsidP="00BF3B62">
            <w:pPr>
              <w:pStyle w:val="ListBullet"/>
            </w:pPr>
            <w:r w:rsidRPr="00DB5740">
              <w:t>each plan or pro</w:t>
            </w:r>
            <w:r w:rsidRPr="00DB5740">
              <w:t>gram the issuer has determined to terminate prior to expiration or under which the issuer does not intend to make further purchases.</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632FCB0D" w14:textId="77777777" w:rsidR="00771086" w:rsidRPr="00DB5740" w:rsidRDefault="00771086" w:rsidP="00771086">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3B8D9C1F" w14:textId="77777777" w:rsidR="00771086" w:rsidRPr="00DB5740" w:rsidRDefault="00771086" w:rsidP="00771086">
            <w:pPr>
              <w:pStyle w:val="ListBullet3"/>
              <w:numPr>
                <w:ilvl w:val="0"/>
                <w:numId w:val="0"/>
              </w:numPr>
              <w:ind w:left="831"/>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B2867"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3B39DAC6"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5E0BABA4" w14:textId="77777777" w:rsidTr="00DB5740">
        <w:trPr>
          <w:cantSplit/>
          <w:jc w:val="center"/>
        </w:trPr>
        <w:tc>
          <w:tcPr>
            <w:tcW w:w="5000" w:type="pct"/>
            <w:gridSpan w:val="7"/>
            <w:tcBorders>
              <w:top w:val="single" w:sz="4" w:space="0" w:color="auto"/>
              <w:bottom w:val="single" w:sz="4" w:space="0" w:color="auto"/>
            </w:tcBorders>
            <w:shd w:val="clear" w:color="auto" w:fill="D9D9D9"/>
          </w:tcPr>
          <w:p w14:paraId="24E41BCF" w14:textId="77777777" w:rsidR="00771086" w:rsidRPr="00DB5740" w:rsidRDefault="005B5528" w:rsidP="00771086">
            <w:pPr>
              <w:keepNext/>
              <w:spacing w:after="120"/>
              <w:rPr>
                <w:b/>
                <w:bCs/>
              </w:rPr>
            </w:pPr>
            <w:r w:rsidRPr="00DB5740">
              <w:rPr>
                <w:b/>
                <w:bCs/>
              </w:rPr>
              <w:lastRenderedPageBreak/>
              <w:t>Item 6. [Reserved]</w:t>
            </w:r>
          </w:p>
        </w:tc>
      </w:tr>
      <w:tr w:rsidR="00000000" w14:paraId="15FCC764" w14:textId="77777777" w:rsidTr="00BF4090">
        <w:trPr>
          <w:cantSplit/>
          <w:jc w:val="center"/>
        </w:trPr>
        <w:tc>
          <w:tcPr>
            <w:tcW w:w="685" w:type="pct"/>
            <w:tcBorders>
              <w:top w:val="single" w:sz="4" w:space="0" w:color="auto"/>
              <w:bottom w:val="single" w:sz="4" w:space="0" w:color="auto"/>
            </w:tcBorders>
          </w:tcPr>
          <w:p w14:paraId="00C48B72" w14:textId="77777777" w:rsidR="00771086" w:rsidRPr="00DB5740" w:rsidRDefault="005B5528" w:rsidP="00771086">
            <w:pPr>
              <w:autoSpaceDE w:val="0"/>
              <w:autoSpaceDN w:val="0"/>
              <w:adjustRightInd w:val="0"/>
            </w:pPr>
            <w:r w:rsidRPr="00DB5740">
              <w:lastRenderedPageBreak/>
              <w:t>Item 6. [Reserved]</w:t>
            </w:r>
          </w:p>
        </w:tc>
        <w:tc>
          <w:tcPr>
            <w:tcW w:w="584" w:type="pct"/>
            <w:tcBorders>
              <w:top w:val="single" w:sz="4" w:space="0" w:color="auto"/>
              <w:bottom w:val="single" w:sz="4" w:space="0" w:color="auto"/>
            </w:tcBorders>
          </w:tcPr>
          <w:p w14:paraId="0F26583A" w14:textId="77777777" w:rsidR="00771086" w:rsidRPr="00DB5740" w:rsidRDefault="00771086" w:rsidP="00771086">
            <w:pPr>
              <w:autoSpaceDE w:val="0"/>
              <w:autoSpaceDN w:val="0"/>
              <w:adjustRightInd w:val="0"/>
              <w:jc w:val="center"/>
            </w:pPr>
          </w:p>
        </w:tc>
        <w:tc>
          <w:tcPr>
            <w:tcW w:w="1907" w:type="pct"/>
            <w:tcBorders>
              <w:top w:val="single" w:sz="4" w:space="0" w:color="auto"/>
              <w:bottom w:val="single" w:sz="4" w:space="0" w:color="auto"/>
            </w:tcBorders>
          </w:tcPr>
          <w:p w14:paraId="4D136B4F" w14:textId="77777777" w:rsidR="00771086" w:rsidRPr="00DB5740" w:rsidRDefault="005B5528" w:rsidP="00771086">
            <w:pPr>
              <w:keepNext/>
              <w:keepLines/>
              <w:autoSpaceDE w:val="0"/>
              <w:autoSpaceDN w:val="0"/>
              <w:adjustRightInd w:val="0"/>
              <w:spacing w:after="120"/>
            </w:pPr>
            <w:r w:rsidRPr="00DB5740">
              <w:t>Item 301 previously required tabular disclosure of five-year summary</w:t>
            </w:r>
            <w:r w:rsidRPr="00DB5740">
              <w:t xml:space="preserve"> financial information.  Item 301 has been eliminated.</w:t>
            </w:r>
          </w:p>
          <w:p w14:paraId="7D088A8D" w14:textId="77777777" w:rsidR="00771086" w:rsidRPr="00DB5740" w:rsidRDefault="005B5528" w:rsidP="00771086">
            <w:pPr>
              <w:keepNext/>
              <w:keepLines/>
              <w:autoSpaceDE w:val="0"/>
              <w:autoSpaceDN w:val="0"/>
              <w:adjustRightInd w:val="0"/>
              <w:spacing w:after="120"/>
            </w:pPr>
            <w:r w:rsidRPr="00DB5740">
              <w:t>No disclosure should appear under Item 6</w:t>
            </w:r>
            <w:r>
              <w:t xml:space="preserve"> other than disclosure indicating “Not Applicable”</w:t>
            </w:r>
            <w:r w:rsidRPr="00DB5740">
              <w:t>.  If the company voluntarily includes similar disclosure, the disclosure should be included in Item 7, MD&amp;A.</w:t>
            </w:r>
          </w:p>
          <w:p w14:paraId="4BB84B71" w14:textId="77777777" w:rsidR="00771086" w:rsidRDefault="005B5528" w:rsidP="00771086">
            <w:pPr>
              <w:keepNext/>
              <w:keepLines/>
              <w:autoSpaceDE w:val="0"/>
              <w:autoSpaceDN w:val="0"/>
              <w:adjustRightInd w:val="0"/>
              <w:spacing w:after="120"/>
            </w:pPr>
            <w:r w:rsidRPr="00DB5740">
              <w:t>C</w:t>
            </w:r>
            <w:r w:rsidRPr="00DB5740">
              <w:t xml:space="preserve">onfirm that Item 6 is listed as follows or revise to conform: </w:t>
            </w:r>
          </w:p>
          <w:p w14:paraId="78331094" w14:textId="77777777" w:rsidR="00771086" w:rsidRPr="00DB5740" w:rsidRDefault="005B5528" w:rsidP="00BF3B62">
            <w:pPr>
              <w:autoSpaceDE w:val="0"/>
              <w:autoSpaceDN w:val="0"/>
              <w:adjustRightInd w:val="0"/>
              <w:spacing w:after="120"/>
              <w:rPr>
                <w:b/>
                <w:bCs/>
              </w:rPr>
            </w:pPr>
            <w:r w:rsidRPr="00DB5740">
              <w:rPr>
                <w:b/>
                <w:bCs/>
              </w:rPr>
              <w:t>Item 6. [Reserved]</w:t>
            </w:r>
          </w:p>
          <w:p w14:paraId="5A0FF87F" w14:textId="77777777" w:rsidR="00771086" w:rsidRPr="00DB5740" w:rsidRDefault="005B5528" w:rsidP="00771086">
            <w:pPr>
              <w:keepNext/>
              <w:keepLines/>
              <w:autoSpaceDE w:val="0"/>
              <w:autoSpaceDN w:val="0"/>
              <w:adjustRightInd w:val="0"/>
              <w:spacing w:after="120"/>
            </w:pPr>
            <w:r w:rsidRPr="00DB5740">
              <w:t>Note that the adopting release for the 2020 amendments encouraged companies to consider whether:</w:t>
            </w:r>
          </w:p>
          <w:p w14:paraId="31BD0E5C" w14:textId="77777777" w:rsidR="00771086" w:rsidRPr="00DB5740" w:rsidRDefault="005B5528" w:rsidP="00BF3B62">
            <w:pPr>
              <w:pStyle w:val="ListBullet"/>
            </w:pPr>
            <w:r w:rsidRPr="00DB5740">
              <w:t>trend information for fiscal years earlier than those presented in the financ</w:t>
            </w:r>
            <w:r w:rsidRPr="00DB5740">
              <w:t>ial statements may be necessary to provide material information necessary to understand the company</w:t>
            </w:r>
            <w:r>
              <w:t>’</w:t>
            </w:r>
            <w:r w:rsidRPr="00DB5740">
              <w:t>s financial condition and results of operations; and</w:t>
            </w:r>
          </w:p>
          <w:p w14:paraId="3CDC9A51" w14:textId="77777777" w:rsidR="00771086" w:rsidRPr="00DB5740" w:rsidRDefault="005B5528" w:rsidP="00BF3B62">
            <w:pPr>
              <w:pStyle w:val="ListBullet"/>
            </w:pPr>
            <w:r w:rsidRPr="00DB5740">
              <w:t>a</w:t>
            </w:r>
            <w:r>
              <w:t xml:space="preserve"> </w:t>
            </w:r>
            <w:r w:rsidRPr="00DB5740">
              <w:t>tabular presen</w:t>
            </w:r>
            <w:r>
              <w:t>t</w:t>
            </w:r>
            <w:r w:rsidRPr="00DB5740">
              <w:t>ation of relevant financial or other information that shows material trends may help r</w:t>
            </w:r>
            <w:r w:rsidRPr="00DB5740">
              <w:t>eaders to understand MD&amp;A.</w:t>
            </w:r>
          </w:p>
        </w:tc>
        <w:tc>
          <w:tcPr>
            <w:tcW w:w="925" w:type="pct"/>
            <w:tcBorders>
              <w:top w:val="single" w:sz="4" w:space="0" w:color="auto"/>
              <w:bottom w:val="single" w:sz="4" w:space="0" w:color="auto"/>
            </w:tcBorders>
          </w:tcPr>
          <w:p w14:paraId="7618E66C" w14:textId="77777777" w:rsidR="00771086" w:rsidRDefault="005B5528" w:rsidP="00771086">
            <w:pPr>
              <w:autoSpaceDE w:val="0"/>
              <w:autoSpaceDN w:val="0"/>
              <w:adjustRightInd w:val="0"/>
              <w:spacing w:after="120"/>
              <w:rPr>
                <w:sz w:val="20"/>
                <w:szCs w:val="20"/>
              </w:rPr>
            </w:pPr>
            <w:r w:rsidRPr="00F87832">
              <w:rPr>
                <w:sz w:val="20"/>
                <w:szCs w:val="20"/>
              </w:rPr>
              <w:t>Exchange Act Rule 12b-13 provides that a registration statement or report</w:t>
            </w:r>
            <w:r>
              <w:rPr>
                <w:sz w:val="20"/>
                <w:szCs w:val="20"/>
              </w:rPr>
              <w:t xml:space="preserve"> “</w:t>
            </w:r>
            <w:r w:rsidRPr="00F87832">
              <w:rPr>
                <w:b/>
                <w:bCs/>
                <w:sz w:val="20"/>
                <w:szCs w:val="20"/>
              </w:rPr>
              <w:t>shall contain the numbers and captions of all items of the appropriate form</w:t>
            </w:r>
            <w:r w:rsidRPr="00F87832">
              <w:rPr>
                <w:sz w:val="20"/>
                <w:szCs w:val="20"/>
              </w:rPr>
              <w:t xml:space="preserve">, but the text of the items may be omitted provided the answers thereto are so </w:t>
            </w:r>
            <w:r w:rsidRPr="00F87832">
              <w:rPr>
                <w:sz w:val="20"/>
                <w:szCs w:val="20"/>
              </w:rPr>
              <w:t xml:space="preserve">prepared as to indicate to the reader the coverage of the items without the necessity of his referring to the text of the items or instructions thereto… Unless expressly provided otherwise, </w:t>
            </w:r>
            <w:r w:rsidRPr="00F87832">
              <w:rPr>
                <w:b/>
                <w:bCs/>
                <w:sz w:val="20"/>
                <w:szCs w:val="20"/>
              </w:rPr>
              <w:t>if any item is inapplicable or the answer thereto is in the negati</w:t>
            </w:r>
            <w:r w:rsidRPr="00F87832">
              <w:rPr>
                <w:b/>
                <w:bCs/>
                <w:sz w:val="20"/>
                <w:szCs w:val="20"/>
              </w:rPr>
              <w:t>ve, an appropriate statement to that effect shall be made.</w:t>
            </w:r>
            <w:r>
              <w:rPr>
                <w:b/>
                <w:bCs/>
                <w:sz w:val="20"/>
                <w:szCs w:val="20"/>
              </w:rPr>
              <w:t xml:space="preserve">” </w:t>
            </w:r>
            <w:r>
              <w:rPr>
                <w:sz w:val="20"/>
                <w:szCs w:val="20"/>
              </w:rPr>
              <w:t>(emphasis added)</w:t>
            </w:r>
          </w:p>
          <w:p w14:paraId="344CA4A3" w14:textId="77777777" w:rsidR="00771086" w:rsidRDefault="005B5528" w:rsidP="00771086">
            <w:pPr>
              <w:autoSpaceDE w:val="0"/>
              <w:autoSpaceDN w:val="0"/>
              <w:adjustRightInd w:val="0"/>
              <w:spacing w:after="120"/>
              <w:rPr>
                <w:sz w:val="20"/>
                <w:szCs w:val="20"/>
              </w:rPr>
            </w:pPr>
            <w:r>
              <w:rPr>
                <w:sz w:val="20"/>
                <w:szCs w:val="20"/>
              </w:rPr>
              <w:t xml:space="preserve">Because Form 10-K does not “expressly provide otherwise,” Rule 12b-13 requires that </w:t>
            </w:r>
            <w:r w:rsidRPr="00F87832">
              <w:rPr>
                <w:sz w:val="20"/>
                <w:szCs w:val="20"/>
              </w:rPr>
              <w:t xml:space="preserve">Form 10-K </w:t>
            </w:r>
            <w:r>
              <w:rPr>
                <w:sz w:val="20"/>
                <w:szCs w:val="20"/>
              </w:rPr>
              <w:t xml:space="preserve">reports </w:t>
            </w:r>
            <w:r w:rsidRPr="00F87832">
              <w:rPr>
                <w:sz w:val="20"/>
                <w:szCs w:val="20"/>
              </w:rPr>
              <w:t xml:space="preserve">include </w:t>
            </w:r>
            <w:r>
              <w:rPr>
                <w:sz w:val="20"/>
                <w:szCs w:val="20"/>
              </w:rPr>
              <w:t>each item heading, with an “appropriate statement” if the item does n</w:t>
            </w:r>
            <w:r>
              <w:rPr>
                <w:sz w:val="20"/>
                <w:szCs w:val="20"/>
              </w:rPr>
              <w:t>ot apply or “the answer thereto is in the negative.”</w:t>
            </w:r>
          </w:p>
          <w:p w14:paraId="7B54CE2A" w14:textId="77777777" w:rsidR="00771086" w:rsidRPr="00F87832" w:rsidRDefault="005B5528" w:rsidP="00771086">
            <w:pPr>
              <w:autoSpaceDE w:val="0"/>
              <w:autoSpaceDN w:val="0"/>
              <w:adjustRightInd w:val="0"/>
              <w:spacing w:after="120"/>
              <w:rPr>
                <w:sz w:val="20"/>
                <w:szCs w:val="20"/>
              </w:rPr>
            </w:pPr>
            <w:r>
              <w:rPr>
                <w:sz w:val="20"/>
                <w:szCs w:val="20"/>
              </w:rPr>
              <w:t xml:space="preserve">Note that Part II of </w:t>
            </w:r>
            <w:r w:rsidRPr="00F87832">
              <w:rPr>
                <w:sz w:val="20"/>
                <w:szCs w:val="20"/>
              </w:rPr>
              <w:t>Form 10-Q</w:t>
            </w:r>
            <w:r>
              <w:rPr>
                <w:sz w:val="20"/>
                <w:szCs w:val="20"/>
              </w:rPr>
              <w:t xml:space="preserve"> provides that “[a]</w:t>
            </w:r>
            <w:r w:rsidRPr="00F87832">
              <w:rPr>
                <w:sz w:val="20"/>
                <w:szCs w:val="20"/>
              </w:rPr>
              <w:t>ny item which is inapplicable or to which the answer is negative may be omitted and no reference thereto need be made in the report.</w:t>
            </w:r>
            <w:r>
              <w:rPr>
                <w:sz w:val="20"/>
                <w:szCs w:val="20"/>
              </w:rPr>
              <w:t>”</w:t>
            </w:r>
          </w:p>
        </w:tc>
        <w:tc>
          <w:tcPr>
            <w:tcW w:w="585" w:type="pct"/>
            <w:tcBorders>
              <w:top w:val="single" w:sz="4" w:space="0" w:color="auto"/>
              <w:bottom w:val="single" w:sz="4" w:space="0" w:color="auto"/>
            </w:tcBorders>
          </w:tcPr>
          <w:p w14:paraId="7F761000" w14:textId="77777777" w:rsidR="00771086" w:rsidRPr="00DB5740" w:rsidRDefault="00771086" w:rsidP="00771086">
            <w:pPr>
              <w:autoSpaceDE w:val="0"/>
              <w:autoSpaceDN w:val="0"/>
              <w:adjustRightInd w:val="0"/>
            </w:pPr>
          </w:p>
        </w:tc>
        <w:tc>
          <w:tcPr>
            <w:tcW w:w="314" w:type="pct"/>
            <w:gridSpan w:val="2"/>
            <w:tcBorders>
              <w:top w:val="single" w:sz="4" w:space="0" w:color="auto"/>
              <w:bottom w:val="single" w:sz="4" w:space="0" w:color="auto"/>
            </w:tcBorders>
            <w:vAlign w:val="center"/>
          </w:tcPr>
          <w:p w14:paraId="6F50BBD2" w14:textId="77777777" w:rsidR="00771086" w:rsidRPr="00DB5740" w:rsidRDefault="005B5528" w:rsidP="00771086">
            <w:pPr>
              <w:jc w:val="center"/>
            </w:pPr>
            <w:r w:rsidRPr="00DB5740">
              <w:t xml:space="preserve">Yes </w:t>
            </w:r>
            <w:r w:rsidRPr="00DB5740">
              <w:rPr>
                <w:rFonts w:ascii="Segoe UI Symbol" w:eastAsia="MS Gothic" w:hAnsi="Segoe UI Symbol" w:cs="Segoe UI Symbol"/>
              </w:rPr>
              <w:t>☐</w:t>
            </w:r>
          </w:p>
          <w:p w14:paraId="07424FD1" w14:textId="77777777" w:rsidR="00771086" w:rsidRPr="00DB5740" w:rsidRDefault="005B5528" w:rsidP="00771086">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6C411AE0" w14:textId="77777777" w:rsidTr="00DB5740">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1D79FF3A" w14:textId="77777777" w:rsidR="00771086" w:rsidRPr="00DB5740" w:rsidRDefault="005B5528" w:rsidP="00771086">
            <w:pPr>
              <w:keepNext/>
              <w:keepLines/>
              <w:spacing w:after="120"/>
              <w:rPr>
                <w:b/>
                <w:bCs/>
              </w:rPr>
            </w:pPr>
            <w:r w:rsidRPr="00DB5740">
              <w:rPr>
                <w:b/>
                <w:bCs/>
              </w:rPr>
              <w:lastRenderedPageBreak/>
              <w:t>Item 7</w:t>
            </w:r>
            <w:r w:rsidRPr="00DB5740">
              <w:rPr>
                <w:b/>
                <w:bCs/>
              </w:rPr>
              <w:t>.  Management</w:t>
            </w:r>
            <w:r>
              <w:rPr>
                <w:b/>
                <w:bCs/>
              </w:rPr>
              <w:t>’</w:t>
            </w:r>
            <w:r w:rsidRPr="00DB5740">
              <w:rPr>
                <w:b/>
                <w:bCs/>
              </w:rPr>
              <w:t>s Discussion and Analysis of Financial Condition and Results of Operatio</w:t>
            </w:r>
            <w:r>
              <w:rPr>
                <w:b/>
                <w:bCs/>
              </w:rPr>
              <w:t>n</w:t>
            </w:r>
            <w:r w:rsidRPr="00DB5740">
              <w:rPr>
                <w:b/>
                <w:bCs/>
              </w:rPr>
              <w:t>s</w:t>
            </w:r>
          </w:p>
        </w:tc>
      </w:tr>
      <w:tr w:rsidR="00000000" w14:paraId="029D1B30" w14:textId="77777777" w:rsidTr="00D17CCB">
        <w:trPr>
          <w:cantSplit/>
          <w:jc w:val="center"/>
        </w:trPr>
        <w:tc>
          <w:tcPr>
            <w:tcW w:w="685" w:type="pct"/>
            <w:tcBorders>
              <w:bottom w:val="single" w:sz="4" w:space="0" w:color="auto"/>
            </w:tcBorders>
          </w:tcPr>
          <w:p w14:paraId="18B0F62B" w14:textId="77777777" w:rsidR="00771086" w:rsidRPr="00DB5740" w:rsidRDefault="005B5528" w:rsidP="00771086">
            <w:pPr>
              <w:autoSpaceDE w:val="0"/>
              <w:autoSpaceDN w:val="0"/>
              <w:adjustRightInd w:val="0"/>
              <w:rPr>
                <w:bCs/>
              </w:rPr>
            </w:pPr>
            <w:r w:rsidRPr="00824652">
              <w:t>Item 2. Management</w:t>
            </w:r>
            <w:r>
              <w:t>’</w:t>
            </w:r>
            <w:r w:rsidRPr="00824652">
              <w:t>s Discussion and Anal</w:t>
            </w:r>
            <w:r>
              <w:t>y</w:t>
            </w:r>
            <w:r w:rsidRPr="00824652">
              <w:t>sis of Financial Condition a</w:t>
            </w:r>
            <w:r>
              <w:t>n</w:t>
            </w:r>
            <w:r w:rsidRPr="00824652">
              <w:t>d Results of Operations.</w:t>
            </w:r>
          </w:p>
        </w:tc>
        <w:tc>
          <w:tcPr>
            <w:tcW w:w="584" w:type="pct"/>
            <w:tcBorders>
              <w:bottom w:val="single" w:sz="4" w:space="0" w:color="auto"/>
            </w:tcBorders>
          </w:tcPr>
          <w:p w14:paraId="57E08D96" w14:textId="77777777" w:rsidR="00771086" w:rsidRPr="00DB5740" w:rsidRDefault="005B5528" w:rsidP="00771086">
            <w:pPr>
              <w:autoSpaceDE w:val="0"/>
              <w:autoSpaceDN w:val="0"/>
              <w:adjustRightInd w:val="0"/>
              <w:jc w:val="center"/>
            </w:pPr>
            <w:hyperlink r:id="rId114" w:anchor="p-229.303(a)" w:history="1">
              <w:r w:rsidRPr="00824652">
                <w:rPr>
                  <w:rStyle w:val="Hyperlink"/>
                </w:rPr>
                <w:t>303</w:t>
              </w:r>
            </w:hyperlink>
          </w:p>
        </w:tc>
        <w:tc>
          <w:tcPr>
            <w:tcW w:w="1907" w:type="pct"/>
            <w:tcBorders>
              <w:bottom w:val="single" w:sz="4" w:space="0" w:color="auto"/>
            </w:tcBorders>
          </w:tcPr>
          <w:p w14:paraId="5CA495A6" w14:textId="77777777" w:rsidR="00771086" w:rsidRPr="000411C3" w:rsidRDefault="005B5528" w:rsidP="00771086">
            <w:pPr>
              <w:pStyle w:val="BodyText"/>
              <w:spacing w:after="120"/>
              <w:rPr>
                <w:i/>
                <w:iCs/>
              </w:rPr>
            </w:pPr>
            <w:r w:rsidRPr="000411C3">
              <w:rPr>
                <w:i/>
                <w:iCs/>
              </w:rPr>
              <w:t xml:space="preserve">The rows below summarize elements of Item </w:t>
            </w:r>
            <w:r>
              <w:rPr>
                <w:i/>
                <w:iCs/>
              </w:rPr>
              <w:t>7</w:t>
            </w:r>
            <w:r w:rsidRPr="000411C3">
              <w:rPr>
                <w:i/>
                <w:iCs/>
              </w:rPr>
              <w:t xml:space="preserve"> (</w:t>
            </w:r>
            <w:r>
              <w:rPr>
                <w:i/>
                <w:iCs/>
              </w:rPr>
              <w:t>MD&amp;A</w:t>
            </w:r>
            <w:r w:rsidRPr="000411C3">
              <w:rPr>
                <w:i/>
                <w:iCs/>
              </w:rPr>
              <w:t xml:space="preserve">) </w:t>
            </w:r>
            <w:r>
              <w:rPr>
                <w:i/>
                <w:iCs/>
              </w:rPr>
              <w:t>t</w:t>
            </w:r>
            <w:r w:rsidRPr="000411C3">
              <w:rPr>
                <w:i/>
                <w:iCs/>
              </w:rPr>
              <w:t>hat should be reviewe</w:t>
            </w:r>
            <w:r>
              <w:rPr>
                <w:i/>
                <w:iCs/>
              </w:rPr>
              <w:t>d</w:t>
            </w:r>
            <w:r w:rsidRPr="000411C3">
              <w:rPr>
                <w:i/>
                <w:iCs/>
              </w:rPr>
              <w:t xml:space="preserve"> as part of a form check.  Revi</w:t>
            </w:r>
            <w:r>
              <w:rPr>
                <w:i/>
                <w:iCs/>
              </w:rPr>
              <w:t>e</w:t>
            </w:r>
            <w:r w:rsidRPr="000411C3">
              <w:rPr>
                <w:i/>
                <w:iCs/>
              </w:rPr>
              <w:t>w of these summaries should be supplem</w:t>
            </w:r>
            <w:r>
              <w:rPr>
                <w:i/>
                <w:iCs/>
              </w:rPr>
              <w:t>e</w:t>
            </w:r>
            <w:r w:rsidRPr="000411C3">
              <w:rPr>
                <w:i/>
                <w:iCs/>
              </w:rPr>
              <w:t>nted by review of the detailed disclosure req</w:t>
            </w:r>
            <w:r>
              <w:rPr>
                <w:i/>
                <w:iCs/>
              </w:rPr>
              <w:t>uire</w:t>
            </w:r>
            <w:r w:rsidRPr="000411C3">
              <w:rPr>
                <w:i/>
                <w:iCs/>
              </w:rPr>
              <w:t xml:space="preserve">ments under </w:t>
            </w:r>
            <w:r>
              <w:rPr>
                <w:i/>
                <w:iCs/>
              </w:rPr>
              <w:t>Item 303</w:t>
            </w:r>
            <w:r>
              <w:rPr>
                <w:i/>
                <w:iCs/>
              </w:rPr>
              <w:t xml:space="preserve"> of </w:t>
            </w:r>
            <w:r w:rsidRPr="000411C3">
              <w:rPr>
                <w:i/>
                <w:iCs/>
              </w:rPr>
              <w:t>Regulation S-K, as appropriate.</w:t>
            </w:r>
          </w:p>
          <w:p w14:paraId="310DD932" w14:textId="77777777" w:rsidR="00771086" w:rsidRPr="00985775" w:rsidRDefault="005B5528" w:rsidP="00771086">
            <w:pPr>
              <w:pStyle w:val="BodyText"/>
              <w:spacing w:after="120"/>
            </w:pPr>
            <w:r w:rsidRPr="00AF75A3">
              <w:t>Furnish the information required by Item 303 of Regulation S-K</w:t>
            </w:r>
            <w:r>
              <w:t>, as summarized in the rows below.</w:t>
            </w:r>
          </w:p>
        </w:tc>
        <w:tc>
          <w:tcPr>
            <w:tcW w:w="925" w:type="pct"/>
            <w:tcBorders>
              <w:bottom w:val="single" w:sz="4" w:space="0" w:color="auto"/>
            </w:tcBorders>
          </w:tcPr>
          <w:p w14:paraId="7B522F79" w14:textId="77777777" w:rsidR="00771086" w:rsidRDefault="00771086" w:rsidP="00771086">
            <w:pPr>
              <w:autoSpaceDE w:val="0"/>
              <w:autoSpaceDN w:val="0"/>
              <w:adjustRightInd w:val="0"/>
              <w:spacing w:after="120"/>
            </w:pPr>
          </w:p>
        </w:tc>
        <w:tc>
          <w:tcPr>
            <w:tcW w:w="585" w:type="pct"/>
            <w:tcBorders>
              <w:bottom w:val="single" w:sz="4" w:space="0" w:color="auto"/>
            </w:tcBorders>
          </w:tcPr>
          <w:p w14:paraId="1AF42CC5" w14:textId="77777777" w:rsidR="00771086" w:rsidRPr="00DB5740" w:rsidRDefault="00771086" w:rsidP="00771086">
            <w:pPr>
              <w:autoSpaceDE w:val="0"/>
              <w:autoSpaceDN w:val="0"/>
              <w:adjustRightInd w:val="0"/>
              <w:rPr>
                <w:bCs/>
              </w:rPr>
            </w:pPr>
          </w:p>
        </w:tc>
        <w:tc>
          <w:tcPr>
            <w:tcW w:w="314" w:type="pct"/>
            <w:gridSpan w:val="2"/>
            <w:tcBorders>
              <w:bottom w:val="single" w:sz="4" w:space="0" w:color="auto"/>
            </w:tcBorders>
            <w:vAlign w:val="center"/>
          </w:tcPr>
          <w:p w14:paraId="24664621" w14:textId="77777777" w:rsidR="00771086" w:rsidRPr="00DB5740" w:rsidRDefault="00771086" w:rsidP="00771086">
            <w:pPr>
              <w:jc w:val="center"/>
            </w:pPr>
          </w:p>
        </w:tc>
      </w:tr>
      <w:tr w:rsidR="00000000" w14:paraId="28D350A5"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6028A095" w14:textId="77777777" w:rsidR="00771086" w:rsidRPr="00DB5740" w:rsidRDefault="005B5528" w:rsidP="00771086">
            <w:pPr>
              <w:autoSpaceDE w:val="0"/>
              <w:autoSpaceDN w:val="0"/>
              <w:adjustRightInd w:val="0"/>
              <w:rPr>
                <w:bCs/>
              </w:rPr>
            </w:pPr>
            <w:r w:rsidRPr="00DB5740">
              <w:rPr>
                <w:bCs/>
              </w:rPr>
              <w:lastRenderedPageBreak/>
              <w:t>Item 7. Management</w:t>
            </w:r>
            <w:r>
              <w:rPr>
                <w:bCs/>
              </w:rPr>
              <w:t>’</w:t>
            </w:r>
            <w:r w:rsidRPr="00DB5740">
              <w:rPr>
                <w:bCs/>
              </w:rPr>
              <w:t>s Discussion and Analysis of Financial Condition and Results of Operations</w:t>
            </w:r>
          </w:p>
          <w:p w14:paraId="11A54B0D" w14:textId="77777777" w:rsidR="00771086" w:rsidRPr="00DB5740" w:rsidRDefault="00771086" w:rsidP="00771086">
            <w:pPr>
              <w:autoSpaceDE w:val="0"/>
              <w:autoSpaceDN w:val="0"/>
              <w:adjustRightInd w:val="0"/>
              <w:rPr>
                <w:bCs/>
              </w:rPr>
            </w:pPr>
          </w:p>
          <w:p w14:paraId="0D3CF0D1" w14:textId="77777777" w:rsidR="00771086" w:rsidRPr="00DB5740" w:rsidRDefault="005B5528" w:rsidP="00771086">
            <w:pPr>
              <w:autoSpaceDE w:val="0"/>
              <w:autoSpaceDN w:val="0"/>
              <w:adjustRightInd w:val="0"/>
              <w:rPr>
                <w:bCs/>
              </w:rPr>
            </w:pPr>
            <w:r w:rsidRPr="00DB5740">
              <w:rPr>
                <w:bCs/>
              </w:rPr>
              <w:t>[</w:t>
            </w:r>
            <w:r w:rsidRPr="00DB5740">
              <w:rPr>
                <w:bCs/>
                <w:u w:val="single"/>
              </w:rPr>
              <w:t>Non-GAAP Financial Meas</w:t>
            </w:r>
            <w:r w:rsidRPr="00DB5740">
              <w:rPr>
                <w:bCs/>
                <w:u w:val="single"/>
              </w:rPr>
              <w:t>ures</w:t>
            </w:r>
            <w:r w:rsidRPr="00DB5740">
              <w:rPr>
                <w:bCs/>
              </w:rPr>
              <w:t>]</w:t>
            </w:r>
          </w:p>
        </w:tc>
        <w:tc>
          <w:tcPr>
            <w:tcW w:w="584" w:type="pct"/>
            <w:tcBorders>
              <w:top w:val="single" w:sz="4" w:space="0" w:color="auto"/>
              <w:left w:val="single" w:sz="4" w:space="0" w:color="auto"/>
              <w:bottom w:val="single" w:sz="4" w:space="0" w:color="auto"/>
              <w:right w:val="single" w:sz="4" w:space="0" w:color="auto"/>
            </w:tcBorders>
          </w:tcPr>
          <w:p w14:paraId="75EF3327" w14:textId="77777777" w:rsidR="00771086" w:rsidRPr="00DB5740" w:rsidRDefault="005B5528" w:rsidP="00771086">
            <w:pPr>
              <w:autoSpaceDE w:val="0"/>
              <w:autoSpaceDN w:val="0"/>
              <w:adjustRightInd w:val="0"/>
              <w:jc w:val="center"/>
            </w:pPr>
            <w:hyperlink r:id="rId115" w:anchor="229.10" w:history="1">
              <w:r w:rsidRPr="00DB5740">
                <w:rPr>
                  <w:rStyle w:val="Hyperlink"/>
                </w:rPr>
                <w:t>10(e)</w:t>
              </w:r>
            </w:hyperlink>
          </w:p>
          <w:p w14:paraId="748A45F7" w14:textId="77777777" w:rsidR="00771086" w:rsidRPr="00DB5740" w:rsidRDefault="00771086" w:rsidP="00771086">
            <w:pPr>
              <w:autoSpaceDE w:val="0"/>
              <w:autoSpaceDN w:val="0"/>
              <w:adjustRightInd w:val="0"/>
              <w:jc w:val="center"/>
            </w:pPr>
          </w:p>
          <w:p w14:paraId="77AB1D06" w14:textId="77777777" w:rsidR="00771086" w:rsidRPr="00DB5740" w:rsidRDefault="005B5528" w:rsidP="00771086">
            <w:pPr>
              <w:autoSpaceDE w:val="0"/>
              <w:autoSpaceDN w:val="0"/>
              <w:adjustRightInd w:val="0"/>
              <w:jc w:val="center"/>
            </w:pPr>
            <w:hyperlink r:id="rId116" w:anchor="part-244" w:history="1">
              <w:r w:rsidRPr="00DB5740">
                <w:rPr>
                  <w:rStyle w:val="Hyperlink"/>
                </w:rPr>
                <w:t>Regulation G</w:t>
              </w:r>
            </w:hyperlink>
          </w:p>
        </w:tc>
        <w:tc>
          <w:tcPr>
            <w:tcW w:w="1907" w:type="pct"/>
            <w:tcBorders>
              <w:top w:val="single" w:sz="4" w:space="0" w:color="auto"/>
              <w:left w:val="single" w:sz="4" w:space="0" w:color="auto"/>
              <w:bottom w:val="single" w:sz="4" w:space="0" w:color="auto"/>
              <w:right w:val="single" w:sz="4" w:space="0" w:color="auto"/>
            </w:tcBorders>
          </w:tcPr>
          <w:p w14:paraId="7A85589A" w14:textId="77777777" w:rsidR="00DB42C6" w:rsidRPr="002F5EBE" w:rsidRDefault="00771086" w:rsidP="00771086">
            <w:pPr>
              <w:keepNext/>
              <w:keepLines/>
              <w:autoSpaceDE w:val="0"/>
              <w:autoSpaceDN w:val="0"/>
              <w:adjustRightInd w:val="0"/>
              <w:spacing w:after="120"/>
            </w:pPr>
            <w:r w:rsidRPr="002F5EBE">
              <w:rPr>
                <w:b/>
                <w:bCs/>
              </w:rPr>
              <w:t>Non-GAAP Financial Measures</w:t>
            </w:r>
            <w:r w:rsidR="005B5528" w:rsidRPr="002F5EBE">
              <w:rPr>
                <w:b/>
                <w:bCs/>
              </w:rPr>
              <w:t xml:space="preserve"> – Overview</w:t>
            </w:r>
          </w:p>
          <w:p w14:paraId="68A4FBA9" w14:textId="77777777" w:rsidR="00F714EC" w:rsidRPr="002F5EBE" w:rsidRDefault="005B5528" w:rsidP="00F714EC">
            <w:pPr>
              <w:keepNext/>
              <w:keepLines/>
              <w:autoSpaceDE w:val="0"/>
              <w:autoSpaceDN w:val="0"/>
              <w:adjustRightInd w:val="0"/>
              <w:spacing w:after="120"/>
              <w:rPr>
                <w:i/>
                <w:iCs/>
              </w:rPr>
            </w:pPr>
            <w:r w:rsidRPr="002F5EBE">
              <w:rPr>
                <w:b/>
                <w:bCs/>
                <w:i/>
                <w:iCs/>
              </w:rPr>
              <w:t>Important:</w:t>
            </w:r>
            <w:r>
              <w:rPr>
                <w:b/>
                <w:bCs/>
                <w:i/>
                <w:iCs/>
              </w:rPr>
              <w:t xml:space="preserve"> New</w:t>
            </w:r>
            <w:r w:rsidRPr="002F5EBE">
              <w:rPr>
                <w:b/>
                <w:bCs/>
                <w:i/>
                <w:iCs/>
              </w:rPr>
              <w:t xml:space="preserve"> </w:t>
            </w:r>
            <w:r w:rsidRPr="002F5EBE">
              <w:rPr>
                <w:b/>
                <w:bCs/>
                <w:i/>
                <w:iCs/>
              </w:rPr>
              <w:t>C&amp;DIs published December 13, 2022</w:t>
            </w:r>
          </w:p>
          <w:p w14:paraId="1C577C01" w14:textId="77777777" w:rsidR="001B301C" w:rsidRPr="00DB42C6" w:rsidRDefault="005B5528" w:rsidP="001B301C">
            <w:pPr>
              <w:shd w:val="clear" w:color="auto" w:fill="FFFFFF"/>
              <w:spacing w:after="240"/>
              <w:rPr>
                <w:rFonts w:cs="Segoe UI"/>
                <w:color w:val="2D3539"/>
              </w:rPr>
            </w:pPr>
            <w:r w:rsidRPr="00DB42C6">
              <w:rPr>
                <w:rFonts w:cs="Segoe UI"/>
                <w:color w:val="2D3539"/>
              </w:rPr>
              <w:t>Non-GAAP financial measures — financial measures of a company’s historical or future financial performance, financial position, or cash flow that reflect adjustments that are not in accordance with US generally accepted ac</w:t>
            </w:r>
            <w:r w:rsidRPr="00DB42C6">
              <w:rPr>
                <w:rFonts w:cs="Segoe UI"/>
                <w:color w:val="2D3539"/>
              </w:rPr>
              <w:t>counting pr</w:t>
            </w:r>
            <w:r w:rsidR="004C520E">
              <w:rPr>
                <w:rFonts w:cs="Segoe UI"/>
                <w:color w:val="2D3539"/>
              </w:rPr>
              <w:t>inciples</w:t>
            </w:r>
            <w:r w:rsidRPr="00DB42C6">
              <w:rPr>
                <w:rFonts w:cs="Segoe UI"/>
                <w:color w:val="2D3539"/>
              </w:rPr>
              <w:t xml:space="preserve"> (“GAAP”) — </w:t>
            </w:r>
            <w:r w:rsidR="00E36CE3">
              <w:rPr>
                <w:rFonts w:cs="Segoe UI"/>
                <w:color w:val="2D3539"/>
              </w:rPr>
              <w:t>are subject to</w:t>
            </w:r>
            <w:r w:rsidRPr="00DB42C6">
              <w:rPr>
                <w:rFonts w:cs="Segoe UI"/>
                <w:color w:val="2D3539"/>
              </w:rPr>
              <w:t> </w:t>
            </w:r>
            <w:hyperlink r:id="rId117" w:history="1">
              <w:r w:rsidRPr="00DB42C6">
                <w:rPr>
                  <w:rStyle w:val="Hyperlink"/>
                  <w:rFonts w:cs="Segoe UI"/>
                </w:rPr>
                <w:t>Regulation G</w:t>
              </w:r>
            </w:hyperlink>
            <w:r w:rsidRPr="00DB42C6">
              <w:rPr>
                <w:rFonts w:cs="Segoe UI"/>
                <w:color w:val="2D3539"/>
              </w:rPr>
              <w:t xml:space="preserve"> and </w:t>
            </w:r>
            <w:hyperlink r:id="rId118" w:anchor="p-229.10(e)" w:history="1">
              <w:r w:rsidRPr="00DB42C6">
                <w:rPr>
                  <w:rStyle w:val="Hyperlink"/>
                  <w:rFonts w:cs="Segoe UI"/>
                </w:rPr>
                <w:t>Item 10(e)</w:t>
              </w:r>
              <w:r w:rsidR="00E36CE3" w:rsidRPr="00542550">
                <w:rPr>
                  <w:rStyle w:val="Hyperlink"/>
                  <w:rFonts w:cs="Segoe UI"/>
                </w:rPr>
                <w:t xml:space="preserve"> </w:t>
              </w:r>
            </w:hyperlink>
            <w:r w:rsidR="00E36CE3">
              <w:rPr>
                <w:rFonts w:cs="Segoe UI"/>
                <w:color w:val="2D3539"/>
              </w:rPr>
              <w:t xml:space="preserve">of Regulation S-K.  </w:t>
            </w:r>
            <w:r w:rsidRPr="002F5EBE">
              <w:rPr>
                <w:rFonts w:cs="Segoe UI"/>
                <w:color w:val="2D3539"/>
              </w:rPr>
              <w:t>The SEC staff has publishe</w:t>
            </w:r>
            <w:r w:rsidRPr="00C24B76">
              <w:rPr>
                <w:rFonts w:cs="Segoe UI"/>
                <w:color w:val="2D3539"/>
                <w:shd w:val="clear" w:color="auto" w:fill="FFFFFF"/>
              </w:rPr>
              <w:t xml:space="preserve">d </w:t>
            </w:r>
            <w:hyperlink r:id="rId119" w:history="1">
              <w:r w:rsidRPr="00C24B76">
                <w:rPr>
                  <w:rStyle w:val="Hyperlink"/>
                  <w:rFonts w:cs="Segoe UI"/>
                  <w:shd w:val="clear" w:color="auto" w:fill="FFFFFF"/>
                </w:rPr>
                <w:t>Compliance and Disclosure</w:t>
              </w:r>
              <w:bookmarkStart w:id="57" w:name="_Hlt122612931"/>
              <w:bookmarkStart w:id="58" w:name="_Hlt122612932"/>
              <w:bookmarkEnd w:id="57"/>
              <w:bookmarkEnd w:id="58"/>
              <w:r w:rsidRPr="00C24B76">
                <w:rPr>
                  <w:rStyle w:val="Hyperlink"/>
                  <w:rFonts w:cs="Segoe UI"/>
                  <w:shd w:val="clear" w:color="auto" w:fill="FFFFFF"/>
                </w:rPr>
                <w:t xml:space="preserve"> Interpretations</w:t>
              </w:r>
            </w:hyperlink>
            <w:r w:rsidRPr="002F5EBE">
              <w:rPr>
                <w:rFonts w:cs="Segoe UI"/>
                <w:color w:val="2D3539"/>
                <w:shd w:val="clear" w:color="auto" w:fill="FFFFFF"/>
              </w:rPr>
              <w:t> that state the views of the staff on the interpretation and application of Regulation G and Item 10(e).</w:t>
            </w:r>
          </w:p>
          <w:p w14:paraId="633D04A2" w14:textId="77777777" w:rsidR="00F714EC" w:rsidRDefault="002F5EBE" w:rsidP="002F5EBE">
            <w:pPr>
              <w:keepNext/>
              <w:keepLines/>
              <w:autoSpaceDE w:val="0"/>
              <w:autoSpaceDN w:val="0"/>
              <w:adjustRightInd w:val="0"/>
              <w:spacing w:after="120"/>
            </w:pPr>
            <w:r w:rsidRPr="002F5EBE">
              <w:t>T</w:t>
            </w:r>
            <w:r w:rsidR="00E1478C" w:rsidRPr="002F5EBE">
              <w:t>he SEC staff published seven new or revised C&amp;DIs on December 13, 2022.  Staff guidance contained in C&amp;DIs is immediately effective and generally applies to all companies and filings that are subject to the disclosure requirements discussed in the C&amp;DIs.</w:t>
            </w:r>
            <w:r w:rsidR="00AC1B93" w:rsidRPr="002F5EBE">
              <w:t xml:space="preserve">  In addition to the general review </w:t>
            </w:r>
            <w:r w:rsidR="005B5528">
              <w:t xml:space="preserve">at the end of this section, </w:t>
            </w:r>
            <w:r w:rsidR="00AC1B93" w:rsidRPr="002F5EBE">
              <w:t>the Form 10-K report should be reviewed in light of the December 2022 C&amp;DIs</w:t>
            </w:r>
            <w:r w:rsidR="00B145C1">
              <w:t>, which are summarized immediately below.</w:t>
            </w:r>
          </w:p>
          <w:p w14:paraId="36E7A5A0" w14:textId="77777777" w:rsidR="00261AB7" w:rsidRDefault="005B5528" w:rsidP="002F5EBE">
            <w:pPr>
              <w:keepNext/>
              <w:keepLines/>
              <w:autoSpaceDE w:val="0"/>
              <w:autoSpaceDN w:val="0"/>
              <w:adjustRightInd w:val="0"/>
              <w:spacing w:after="120"/>
            </w:pPr>
            <w:r>
              <w:t>Although this discussion of non-GAAP financial measure disclosure is included in</w:t>
            </w:r>
            <w:r>
              <w:t xml:space="preserve"> the MD&amp;A section, non-GAAP financial measures could be disclosed in many sections of a Form 10-K report</w:t>
            </w:r>
            <w:r w:rsidR="00DC286E">
              <w:t>, and would be subject to the requirements and interpretations discussed in this section.</w:t>
            </w:r>
          </w:p>
          <w:p w14:paraId="6FC9BEBE" w14:textId="77777777" w:rsidR="00C24B76" w:rsidRDefault="00826DEF" w:rsidP="002F5EBE">
            <w:pPr>
              <w:keepNext/>
              <w:keepLines/>
              <w:autoSpaceDE w:val="0"/>
              <w:autoSpaceDN w:val="0"/>
              <w:adjustRightInd w:val="0"/>
              <w:spacing w:after="120"/>
            </w:pPr>
            <w:r w:rsidRPr="002F5EBE">
              <w:t xml:space="preserve">For additional information, refer to the Goodwin client alert on these C&amp;DIs: </w:t>
            </w:r>
            <w:hyperlink r:id="rId120" w:history="1">
              <w:r w:rsidRPr="002F5EBE">
                <w:rPr>
                  <w:rStyle w:val="Hyperlink"/>
                </w:rPr>
                <w:t>SEC Publishes New Non-GAAP Financial Measures Guidance as 2022 Year-End Reporting Season Approaches</w:t>
              </w:r>
            </w:hyperlink>
            <w:r w:rsidR="005B5528">
              <w:t>.</w:t>
            </w:r>
          </w:p>
          <w:p w14:paraId="29A77423" w14:textId="77777777" w:rsidR="00771086" w:rsidRPr="002F5EBE" w:rsidRDefault="00C24B76" w:rsidP="002F5EBE">
            <w:pPr>
              <w:keepNext/>
              <w:keepLines/>
              <w:autoSpaceDE w:val="0"/>
              <w:autoSpaceDN w:val="0"/>
              <w:adjustRightInd w:val="0"/>
              <w:spacing w:after="120"/>
            </w:pPr>
            <w:r>
              <w:t xml:space="preserve">An earlier client alert discusses an SEC enforcement action based on the equal or greater prominence requirement of Item 10(e): </w:t>
            </w:r>
            <w:hyperlink r:id="rId121" w:history="1">
              <w:r w:rsidR="002F5EBE" w:rsidRPr="002F5EBE">
                <w:rPr>
                  <w:rStyle w:val="Hyperlink"/>
                </w:rPr>
                <w:t>Non-GAAP “Equal or Greater Prominence” – SEC Enforcement Action Highlights Importance of Compliance</w:t>
              </w:r>
            </w:hyperlink>
          </w:p>
        </w:tc>
        <w:tc>
          <w:tcPr>
            <w:tcW w:w="925" w:type="pct"/>
            <w:tcBorders>
              <w:top w:val="single" w:sz="4" w:space="0" w:color="auto"/>
              <w:left w:val="single" w:sz="4" w:space="0" w:color="auto"/>
              <w:bottom w:val="single" w:sz="4" w:space="0" w:color="auto"/>
              <w:right w:val="single" w:sz="4" w:space="0" w:color="auto"/>
            </w:tcBorders>
          </w:tcPr>
          <w:p w14:paraId="181F38F6" w14:textId="77777777" w:rsidR="00771086" w:rsidRPr="00DB5740" w:rsidRDefault="00771086" w:rsidP="00771086">
            <w:pPr>
              <w:pStyle w:val="BodyText"/>
              <w:spacing w:after="120"/>
            </w:pPr>
          </w:p>
        </w:tc>
        <w:tc>
          <w:tcPr>
            <w:tcW w:w="585" w:type="pct"/>
            <w:tcBorders>
              <w:top w:val="single" w:sz="4" w:space="0" w:color="auto"/>
              <w:left w:val="single" w:sz="4" w:space="0" w:color="auto"/>
              <w:bottom w:val="single" w:sz="4" w:space="0" w:color="auto"/>
              <w:right w:val="single" w:sz="4" w:space="0" w:color="auto"/>
            </w:tcBorders>
          </w:tcPr>
          <w:p w14:paraId="00D8EB78" w14:textId="77777777" w:rsidR="00771086" w:rsidRPr="00DB5740" w:rsidRDefault="00771086" w:rsidP="00771086">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1CCE139E" w14:textId="77777777" w:rsidR="00771086" w:rsidRPr="00DB5740" w:rsidRDefault="00771086" w:rsidP="00771086">
            <w:pPr>
              <w:jc w:val="center"/>
            </w:pPr>
          </w:p>
        </w:tc>
      </w:tr>
      <w:tr w:rsidR="00000000" w14:paraId="7FFAAC63" w14:textId="77777777" w:rsidTr="005329D1">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4DC98A6B" w14:textId="77777777" w:rsidR="00320348" w:rsidRPr="00DB5740" w:rsidRDefault="00320348" w:rsidP="00320348">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47CFFD1B" w14:textId="77777777" w:rsidR="00320348" w:rsidRPr="00DB5740" w:rsidRDefault="00320348" w:rsidP="00320348">
            <w:pPr>
              <w:autoSpaceDE w:val="0"/>
              <w:autoSpaceDN w:val="0"/>
              <w:adjustRightInd w:val="0"/>
              <w:jc w:val="center"/>
            </w:pPr>
          </w:p>
        </w:tc>
        <w:tc>
          <w:tcPr>
            <w:tcW w:w="1907" w:type="pct"/>
            <w:shd w:val="clear" w:color="auto" w:fill="auto"/>
          </w:tcPr>
          <w:p w14:paraId="112DC8E2" w14:textId="77777777" w:rsidR="00320348" w:rsidRPr="005329D1" w:rsidRDefault="005B5528" w:rsidP="00320348">
            <w:pPr>
              <w:pStyle w:val="BodyText"/>
              <w:spacing w:after="120"/>
              <w:rPr>
                <w:rFonts w:cs="Calibri"/>
              </w:rPr>
            </w:pPr>
            <w:r w:rsidRPr="005329D1">
              <w:rPr>
                <w:rFonts w:cs="Calibri"/>
                <w:b/>
                <w:bCs/>
                <w:i/>
                <w:iCs/>
              </w:rPr>
              <w:t>Non-GAAP Financial Measures That Are Subject to the “Equal or Greater Prominence” Requirement</w:t>
            </w:r>
          </w:p>
          <w:p w14:paraId="248031F0" w14:textId="77777777" w:rsidR="00320348" w:rsidRPr="005329D1" w:rsidRDefault="005B5528" w:rsidP="00320348">
            <w:pPr>
              <w:keepNext/>
              <w:keepLines/>
              <w:autoSpaceDE w:val="0"/>
              <w:autoSpaceDN w:val="0"/>
              <w:adjustRightInd w:val="0"/>
              <w:spacing w:after="120"/>
              <w:rPr>
                <w:rFonts w:cs="Calibri"/>
              </w:rPr>
            </w:pPr>
            <w:r w:rsidRPr="005329D1">
              <w:rPr>
                <w:rFonts w:cs="Calibri"/>
              </w:rPr>
              <w:t>Some of the December 2022 C&amp;DIs state the staff’s views on compliance with the “equal o</w:t>
            </w:r>
            <w:r w:rsidRPr="005329D1">
              <w:rPr>
                <w:rFonts w:cs="Calibri"/>
              </w:rPr>
              <w:t>r greater prominence” requirement in Item 10(e), which applies to Form 10-K and Form 10-Q reports and other SEC filings, as well as</w:t>
            </w:r>
            <w:r w:rsidR="00DC286E" w:rsidRPr="005329D1">
              <w:rPr>
                <w:rFonts w:cs="Calibri"/>
              </w:rPr>
              <w:t xml:space="preserve"> </w:t>
            </w:r>
            <w:r w:rsidRPr="005329D1">
              <w:rPr>
                <w:rFonts w:cs="Calibri"/>
              </w:rPr>
              <w:t>earnings releases submitted in connection with Item 2.02 reports on Form 8-K.</w:t>
            </w:r>
          </w:p>
          <w:p w14:paraId="650881A0" w14:textId="77777777" w:rsidR="00320348" w:rsidRPr="00294E1E" w:rsidRDefault="005B5528" w:rsidP="00320348">
            <w:pPr>
              <w:keepNext/>
              <w:keepLines/>
              <w:autoSpaceDE w:val="0"/>
              <w:autoSpaceDN w:val="0"/>
              <w:adjustRightInd w:val="0"/>
              <w:spacing w:after="120"/>
              <w:rPr>
                <w:b/>
                <w:bCs/>
              </w:rPr>
            </w:pPr>
            <w:r w:rsidRPr="005329D1">
              <w:rPr>
                <w:rFonts w:cs="Calibri"/>
              </w:rPr>
              <w:t>Confirm that the Form 10-K report does not con</w:t>
            </w:r>
            <w:r w:rsidRPr="005329D1">
              <w:rPr>
                <w:rFonts w:cs="Calibri"/>
              </w:rPr>
              <w:t xml:space="preserve">tain disclosures that could be misleading or otherwise viewed adversely by the staff.  </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1261D53B" w14:textId="77777777" w:rsidR="00320348" w:rsidRPr="00DB5740" w:rsidRDefault="005B5528" w:rsidP="00320348">
            <w:pPr>
              <w:autoSpaceDE w:val="0"/>
              <w:autoSpaceDN w:val="0"/>
              <w:adjustRightInd w:val="0"/>
              <w:spacing w:after="120"/>
            </w:pPr>
            <w:r>
              <w:t>“E</w:t>
            </w:r>
            <w:r w:rsidRPr="00DB5740">
              <w:t>qual or greater prominence</w:t>
            </w:r>
            <w:r>
              <w:t>”</w:t>
            </w:r>
            <w:r w:rsidRPr="00DB5740">
              <w:t xml:space="preserve"> means that the GAAP financial measure precedes the non-GAAP financial measure.  The Divi</w:t>
            </w:r>
            <w:r>
              <w:t>s</w:t>
            </w:r>
            <w:r w:rsidRPr="00DB5740">
              <w:t>ion of Enforcement brings actions against compani</w:t>
            </w:r>
            <w:r w:rsidRPr="00DB5740">
              <w:t xml:space="preserve">es </w:t>
            </w:r>
            <w:r>
              <w:t>w</w:t>
            </w:r>
            <w:r w:rsidRPr="00DB5740">
              <w:t>hen it believes appropriate.  As an example, in December 2018 the SEC settled an enforcement proceeding involving a failure to comply with the requirement that companies give equal or greater prominence to comparable GAAP financial measures when disclo</w:t>
            </w:r>
            <w:r w:rsidRPr="00DB5740">
              <w:t>sing non-GAAP financial measures in SEC filings and in earnings releases furnished under Form 8-K.</w:t>
            </w:r>
          </w:p>
          <w:p w14:paraId="4E3E06CF" w14:textId="77777777" w:rsidR="00320348" w:rsidRPr="00DB5740" w:rsidRDefault="005B5528" w:rsidP="00320348">
            <w:pPr>
              <w:pStyle w:val="BodyText"/>
              <w:spacing w:after="120"/>
            </w:pPr>
            <w:hyperlink r:id="rId122" w:history="1">
              <w:r w:rsidRPr="00DB5740">
                <w:rPr>
                  <w:rStyle w:val="Hyperlink"/>
                </w:rPr>
                <w:t>SEC Enforcement Action</w:t>
              </w:r>
            </w:hyperlink>
          </w:p>
          <w:p w14:paraId="3C980CE4" w14:textId="77777777" w:rsidR="00320348" w:rsidRPr="00DB5740" w:rsidRDefault="005B5528" w:rsidP="00320348">
            <w:pPr>
              <w:autoSpaceDE w:val="0"/>
              <w:autoSpaceDN w:val="0"/>
              <w:adjustRightInd w:val="0"/>
              <w:spacing w:after="120"/>
            </w:pPr>
            <w:hyperlink r:id="rId123" w:history="1">
              <w:r w:rsidRPr="00DB5740">
                <w:rPr>
                  <w:rStyle w:val="Hyperlink"/>
                </w:rPr>
                <w:t>Non-GAAP</w:t>
              </w:r>
              <w:r>
                <w:rPr>
                  <w:rStyle w:val="Hyperlink"/>
                </w:rPr>
                <w:t xml:space="preserve"> “</w:t>
              </w:r>
              <w:r w:rsidRPr="00DB5740">
                <w:rPr>
                  <w:rStyle w:val="Hyperlink"/>
                </w:rPr>
                <w:t>Equal or Greater Prominenc</w:t>
              </w:r>
              <w:r>
                <w:rPr>
                  <w:rStyle w:val="Hyperlink"/>
                </w:rPr>
                <w:t>e”</w:t>
              </w:r>
              <w:r w:rsidRPr="00DB5740">
                <w:rPr>
                  <w:rStyle w:val="Hyperlink"/>
                </w:rPr>
                <w:t xml:space="preserve"> – SEC Enforcement Action Highlights Importance of Compliance</w:t>
              </w:r>
            </w:hyperlink>
            <w:r w:rsidRPr="00DB5740">
              <w:t xml:space="preserve">  (Goodwin alert)</w:t>
            </w: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30334A91" w14:textId="77777777" w:rsidR="00320348" w:rsidRPr="00DB5740" w:rsidRDefault="00320348" w:rsidP="00320348">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057F2" w14:textId="77777777" w:rsidR="00320348" w:rsidRPr="00DB5740" w:rsidRDefault="00320348" w:rsidP="00320348">
            <w:pPr>
              <w:jc w:val="center"/>
            </w:pPr>
          </w:p>
        </w:tc>
      </w:tr>
      <w:tr w:rsidR="00000000" w14:paraId="31AD0565" w14:textId="77777777" w:rsidTr="00B051D1">
        <w:trPr>
          <w:cantSplit/>
          <w:jc w:val="center"/>
        </w:trPr>
        <w:tc>
          <w:tcPr>
            <w:tcW w:w="685" w:type="pct"/>
            <w:tcBorders>
              <w:top w:val="single" w:sz="4" w:space="0" w:color="auto"/>
              <w:left w:val="single" w:sz="4" w:space="0" w:color="auto"/>
              <w:bottom w:val="single" w:sz="4" w:space="0" w:color="auto"/>
              <w:right w:val="single" w:sz="4" w:space="0" w:color="auto"/>
            </w:tcBorders>
          </w:tcPr>
          <w:p w14:paraId="4EB44B20" w14:textId="77777777" w:rsidR="00320348" w:rsidRPr="00DB5740" w:rsidRDefault="00320348" w:rsidP="00320348">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75B2D986" w14:textId="77777777" w:rsidR="00320348" w:rsidRPr="00DB5740" w:rsidRDefault="00320348" w:rsidP="00320348">
            <w:pPr>
              <w:autoSpaceDE w:val="0"/>
              <w:autoSpaceDN w:val="0"/>
              <w:adjustRightInd w:val="0"/>
              <w:jc w:val="center"/>
            </w:pPr>
          </w:p>
        </w:tc>
        <w:tc>
          <w:tcPr>
            <w:tcW w:w="1907" w:type="pct"/>
          </w:tcPr>
          <w:p w14:paraId="694FCDC8" w14:textId="77777777" w:rsidR="00320348" w:rsidRPr="0081220D" w:rsidRDefault="005B5528" w:rsidP="00320348">
            <w:pPr>
              <w:keepNext/>
              <w:keepLines/>
              <w:autoSpaceDE w:val="0"/>
              <w:autoSpaceDN w:val="0"/>
              <w:adjustRightInd w:val="0"/>
              <w:spacing w:after="120"/>
              <w:rPr>
                <w:rFonts w:cs="Calibri"/>
              </w:rPr>
            </w:pPr>
            <w:r w:rsidRPr="0081220D">
              <w:rPr>
                <w:rFonts w:cs="Calibri"/>
                <w:b/>
                <w:bCs/>
              </w:rPr>
              <w:t>Ratios:</w:t>
            </w:r>
            <w:r w:rsidRPr="0081220D">
              <w:rPr>
                <w:rFonts w:cs="Calibri"/>
              </w:rPr>
              <w:t xml:space="preserve"> confirm that any ratios that include a non-GAAP financial measure in the numerat</w:t>
            </w:r>
            <w:r w:rsidRPr="0081220D">
              <w:rPr>
                <w:rFonts w:cs="Calibri"/>
              </w:rPr>
              <w:t xml:space="preserve">or and/or denominator are accompanied by an equally or more prominent presentation of the comparable GAAP ratio.  </w:t>
            </w:r>
          </w:p>
          <w:p w14:paraId="35966546" w14:textId="77777777" w:rsidR="00320348" w:rsidRPr="004C45EE" w:rsidRDefault="005B5528" w:rsidP="00320348">
            <w:pPr>
              <w:keepNext/>
              <w:keepLines/>
              <w:autoSpaceDE w:val="0"/>
              <w:autoSpaceDN w:val="0"/>
              <w:adjustRightInd w:val="0"/>
              <w:spacing w:after="120"/>
              <w:rPr>
                <w:b/>
                <w:bCs/>
              </w:rPr>
            </w:pPr>
            <w:r w:rsidRPr="0081220D">
              <w:rPr>
                <w:rFonts w:cs="Calibri"/>
              </w:rPr>
              <w:t>Example: a ratio of “net debt” to EBITDA requires an equal or more prominent presentation of the most directly comparable GAAP ratio and a re</w:t>
            </w:r>
            <w:r w:rsidRPr="0081220D">
              <w:rPr>
                <w:rFonts w:cs="Calibri"/>
              </w:rPr>
              <w:t>conciliation to the GAAP ratio (and, because net debt is a non-GAAP financial measure, an equal or more prominent presentation of the most directly comparable GAAP financial measure and a reconciliation of net debt to the most directly comparable GAAP fina</w:t>
            </w:r>
            <w:r w:rsidRPr="0081220D">
              <w:rPr>
                <w:rFonts w:cs="Calibri"/>
              </w:rPr>
              <w:t xml:space="preserve">ncial measure).  Other examples include debt ratios, interest coverage ratios and payout ratios that are based on one or more non-GAAP financial measures.  </w:t>
            </w:r>
          </w:p>
        </w:tc>
        <w:tc>
          <w:tcPr>
            <w:tcW w:w="925" w:type="pct"/>
            <w:tcBorders>
              <w:top w:val="single" w:sz="4" w:space="0" w:color="auto"/>
              <w:left w:val="single" w:sz="4" w:space="0" w:color="auto"/>
              <w:bottom w:val="single" w:sz="4" w:space="0" w:color="auto"/>
              <w:right w:val="single" w:sz="4" w:space="0" w:color="auto"/>
            </w:tcBorders>
          </w:tcPr>
          <w:p w14:paraId="65B7EC52" w14:textId="77777777" w:rsidR="00320348" w:rsidRPr="00DB5740" w:rsidRDefault="00320348" w:rsidP="00320348">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5BF1E0FA" w14:textId="77777777" w:rsidR="00320348" w:rsidRPr="00DB5740" w:rsidRDefault="00320348" w:rsidP="00320348">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6950B2D4" w14:textId="77777777" w:rsidR="00320348" w:rsidRPr="00DB5740" w:rsidRDefault="005B5528" w:rsidP="00320348">
            <w:pPr>
              <w:jc w:val="center"/>
            </w:pPr>
            <w:r w:rsidRPr="00DB5740">
              <w:t xml:space="preserve">Yes </w:t>
            </w:r>
            <w:r w:rsidRPr="00DB5740">
              <w:rPr>
                <w:rFonts w:ascii="Segoe UI Symbol" w:eastAsia="MS Gothic" w:hAnsi="Segoe UI Symbol" w:cs="Segoe UI Symbol"/>
              </w:rPr>
              <w:t>☐</w:t>
            </w:r>
          </w:p>
          <w:p w14:paraId="57E97151" w14:textId="77777777" w:rsidR="00320348" w:rsidRPr="00DB5740" w:rsidRDefault="005B5528" w:rsidP="00320348">
            <w:pPr>
              <w:jc w:val="center"/>
            </w:pPr>
            <w:r w:rsidRPr="00DB5740">
              <w:t xml:space="preserve">No  </w:t>
            </w:r>
            <w:r w:rsidRPr="00DB5740">
              <w:rPr>
                <w:rFonts w:ascii="Segoe UI Symbol" w:eastAsia="MS Gothic" w:hAnsi="Segoe UI Symbol" w:cs="Segoe UI Symbol"/>
              </w:rPr>
              <w:t>☐</w:t>
            </w:r>
          </w:p>
        </w:tc>
      </w:tr>
      <w:tr w:rsidR="00000000" w14:paraId="4A954055" w14:textId="77777777" w:rsidTr="00B051D1">
        <w:trPr>
          <w:cantSplit/>
          <w:jc w:val="center"/>
        </w:trPr>
        <w:tc>
          <w:tcPr>
            <w:tcW w:w="685" w:type="pct"/>
            <w:tcBorders>
              <w:top w:val="single" w:sz="4" w:space="0" w:color="auto"/>
              <w:left w:val="single" w:sz="4" w:space="0" w:color="auto"/>
              <w:bottom w:val="single" w:sz="4" w:space="0" w:color="auto"/>
              <w:right w:val="single" w:sz="4" w:space="0" w:color="auto"/>
            </w:tcBorders>
          </w:tcPr>
          <w:p w14:paraId="55B4CCC8" w14:textId="77777777" w:rsidR="00320348" w:rsidRPr="00DB5740" w:rsidRDefault="00320348" w:rsidP="00320348">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1420ED60" w14:textId="77777777" w:rsidR="00320348" w:rsidRPr="00DB5740" w:rsidRDefault="00320348" w:rsidP="00320348">
            <w:pPr>
              <w:autoSpaceDE w:val="0"/>
              <w:autoSpaceDN w:val="0"/>
              <w:adjustRightInd w:val="0"/>
              <w:jc w:val="center"/>
            </w:pPr>
          </w:p>
        </w:tc>
        <w:tc>
          <w:tcPr>
            <w:tcW w:w="1907" w:type="pct"/>
          </w:tcPr>
          <w:p w14:paraId="4E3F31BF" w14:textId="77777777" w:rsidR="00320348" w:rsidRPr="004C45EE" w:rsidRDefault="005B5528" w:rsidP="00320348">
            <w:pPr>
              <w:keepNext/>
              <w:keepLines/>
              <w:autoSpaceDE w:val="0"/>
              <w:autoSpaceDN w:val="0"/>
              <w:adjustRightInd w:val="0"/>
              <w:spacing w:after="120"/>
              <w:rPr>
                <w:b/>
                <w:bCs/>
              </w:rPr>
            </w:pPr>
            <w:r w:rsidRPr="0081220D">
              <w:rPr>
                <w:rFonts w:cs="Calibri"/>
                <w:b/>
                <w:bCs/>
              </w:rPr>
              <w:t>Charts, tables and graphs:</w:t>
            </w:r>
            <w:r w:rsidRPr="0081220D">
              <w:rPr>
                <w:rFonts w:cs="Calibri"/>
              </w:rPr>
              <w:t xml:space="preserve">  confirm that any charts, tables or graphs that show a </w:t>
            </w:r>
            <w:r w:rsidRPr="0081220D">
              <w:rPr>
                <w:rFonts w:cs="Calibri"/>
              </w:rPr>
              <w:t>non-GAAP financial measure are accompanied by an equal or more prominent presentation of charts, tables or graphs that show the comparable GAAP financial measure.</w:t>
            </w:r>
          </w:p>
        </w:tc>
        <w:tc>
          <w:tcPr>
            <w:tcW w:w="925" w:type="pct"/>
            <w:tcBorders>
              <w:top w:val="single" w:sz="4" w:space="0" w:color="auto"/>
              <w:left w:val="single" w:sz="4" w:space="0" w:color="auto"/>
              <w:bottom w:val="single" w:sz="4" w:space="0" w:color="auto"/>
              <w:right w:val="single" w:sz="4" w:space="0" w:color="auto"/>
            </w:tcBorders>
          </w:tcPr>
          <w:p w14:paraId="69645D3A" w14:textId="77777777" w:rsidR="00320348" w:rsidRPr="00DB5740" w:rsidRDefault="00320348" w:rsidP="00320348">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4A59690A" w14:textId="77777777" w:rsidR="00320348" w:rsidRPr="00DB5740" w:rsidRDefault="00320348" w:rsidP="00320348">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631F7ED8" w14:textId="77777777" w:rsidR="00320348" w:rsidRPr="00DB5740" w:rsidRDefault="005B5528" w:rsidP="00320348">
            <w:pPr>
              <w:jc w:val="center"/>
            </w:pPr>
            <w:r w:rsidRPr="00DB5740">
              <w:t xml:space="preserve">Yes </w:t>
            </w:r>
            <w:r w:rsidRPr="00DB5740">
              <w:rPr>
                <w:rFonts w:ascii="Segoe UI Symbol" w:eastAsia="MS Gothic" w:hAnsi="Segoe UI Symbol" w:cs="Segoe UI Symbol"/>
              </w:rPr>
              <w:t>☐</w:t>
            </w:r>
          </w:p>
          <w:p w14:paraId="4A5218FB" w14:textId="77777777" w:rsidR="00320348" w:rsidRPr="00DB5740" w:rsidRDefault="005B5528" w:rsidP="00320348">
            <w:pPr>
              <w:jc w:val="center"/>
            </w:pPr>
            <w:r w:rsidRPr="00DB5740">
              <w:t xml:space="preserve">No  </w:t>
            </w:r>
            <w:r w:rsidRPr="00DB5740">
              <w:rPr>
                <w:rFonts w:ascii="Segoe UI Symbol" w:eastAsia="MS Gothic" w:hAnsi="Segoe UI Symbol" w:cs="Segoe UI Symbol"/>
              </w:rPr>
              <w:t>☐</w:t>
            </w:r>
          </w:p>
        </w:tc>
      </w:tr>
      <w:tr w:rsidR="00000000" w14:paraId="32BA2C63" w14:textId="77777777" w:rsidTr="00B051D1">
        <w:trPr>
          <w:cantSplit/>
          <w:jc w:val="center"/>
        </w:trPr>
        <w:tc>
          <w:tcPr>
            <w:tcW w:w="685" w:type="pct"/>
            <w:tcBorders>
              <w:top w:val="single" w:sz="4" w:space="0" w:color="auto"/>
              <w:left w:val="single" w:sz="4" w:space="0" w:color="auto"/>
              <w:bottom w:val="single" w:sz="4" w:space="0" w:color="auto"/>
              <w:right w:val="single" w:sz="4" w:space="0" w:color="auto"/>
            </w:tcBorders>
          </w:tcPr>
          <w:p w14:paraId="5AD1CCFA" w14:textId="77777777" w:rsidR="00320348" w:rsidRPr="00DB5740" w:rsidRDefault="00320348" w:rsidP="00320348">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3DB17354" w14:textId="77777777" w:rsidR="00320348" w:rsidRPr="00DB5740" w:rsidRDefault="00320348" w:rsidP="00320348">
            <w:pPr>
              <w:autoSpaceDE w:val="0"/>
              <w:autoSpaceDN w:val="0"/>
              <w:adjustRightInd w:val="0"/>
              <w:jc w:val="center"/>
            </w:pPr>
          </w:p>
        </w:tc>
        <w:tc>
          <w:tcPr>
            <w:tcW w:w="1907" w:type="pct"/>
          </w:tcPr>
          <w:p w14:paraId="5BA2358E" w14:textId="77777777" w:rsidR="00320348" w:rsidRPr="004C45EE" w:rsidRDefault="005B5528" w:rsidP="00320348">
            <w:pPr>
              <w:keepNext/>
              <w:keepLines/>
              <w:autoSpaceDE w:val="0"/>
              <w:autoSpaceDN w:val="0"/>
              <w:adjustRightInd w:val="0"/>
              <w:spacing w:after="120"/>
              <w:rPr>
                <w:b/>
                <w:bCs/>
              </w:rPr>
            </w:pPr>
            <w:r w:rsidRPr="0081220D">
              <w:rPr>
                <w:rFonts w:cs="Calibri"/>
                <w:b/>
                <w:bCs/>
              </w:rPr>
              <w:t>Headlines and captions:</w:t>
            </w:r>
            <w:r w:rsidRPr="0081220D">
              <w:rPr>
                <w:rFonts w:cs="Calibri"/>
              </w:rPr>
              <w:t xml:space="preserve"> confirm that any headlines, captions or other disclo</w:t>
            </w:r>
            <w:r w:rsidRPr="0081220D">
              <w:rPr>
                <w:rFonts w:cs="Calibri"/>
              </w:rPr>
              <w:t>sures that include a non-GAAP financial measure are not presented before, or do not omit, the comparable GAAP financial measure.</w:t>
            </w:r>
          </w:p>
        </w:tc>
        <w:tc>
          <w:tcPr>
            <w:tcW w:w="925" w:type="pct"/>
            <w:tcBorders>
              <w:top w:val="single" w:sz="4" w:space="0" w:color="auto"/>
              <w:left w:val="single" w:sz="4" w:space="0" w:color="auto"/>
              <w:bottom w:val="single" w:sz="4" w:space="0" w:color="auto"/>
              <w:right w:val="single" w:sz="4" w:space="0" w:color="auto"/>
            </w:tcBorders>
          </w:tcPr>
          <w:p w14:paraId="78ED72D5" w14:textId="77777777" w:rsidR="00320348" w:rsidRPr="00DB5740" w:rsidRDefault="00320348" w:rsidP="00320348">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485B44F2" w14:textId="77777777" w:rsidR="00320348" w:rsidRPr="00DB5740" w:rsidRDefault="00320348" w:rsidP="00320348">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7070E395" w14:textId="77777777" w:rsidR="00320348" w:rsidRPr="00DB5740" w:rsidRDefault="005B5528" w:rsidP="00320348">
            <w:pPr>
              <w:jc w:val="center"/>
            </w:pPr>
            <w:r w:rsidRPr="00DB5740">
              <w:t xml:space="preserve">Yes </w:t>
            </w:r>
            <w:r w:rsidRPr="00DB5740">
              <w:rPr>
                <w:rFonts w:ascii="Segoe UI Symbol" w:eastAsia="MS Gothic" w:hAnsi="Segoe UI Symbol" w:cs="Segoe UI Symbol"/>
              </w:rPr>
              <w:t>☐</w:t>
            </w:r>
          </w:p>
          <w:p w14:paraId="35D7CC02" w14:textId="77777777" w:rsidR="00320348" w:rsidRPr="00DB5740" w:rsidRDefault="005B5528" w:rsidP="00320348">
            <w:pPr>
              <w:jc w:val="center"/>
            </w:pPr>
            <w:r w:rsidRPr="00DB5740">
              <w:t xml:space="preserve">No  </w:t>
            </w:r>
            <w:r w:rsidRPr="00DB5740">
              <w:rPr>
                <w:rFonts w:ascii="Segoe UI Symbol" w:eastAsia="MS Gothic" w:hAnsi="Segoe UI Symbol" w:cs="Segoe UI Symbol"/>
              </w:rPr>
              <w:t>☐</w:t>
            </w:r>
          </w:p>
        </w:tc>
      </w:tr>
      <w:tr w:rsidR="00000000" w14:paraId="055B2555" w14:textId="77777777" w:rsidTr="00B051D1">
        <w:trPr>
          <w:cantSplit/>
          <w:jc w:val="center"/>
        </w:trPr>
        <w:tc>
          <w:tcPr>
            <w:tcW w:w="685" w:type="pct"/>
            <w:tcBorders>
              <w:top w:val="single" w:sz="4" w:space="0" w:color="auto"/>
              <w:left w:val="single" w:sz="4" w:space="0" w:color="auto"/>
              <w:bottom w:val="single" w:sz="4" w:space="0" w:color="auto"/>
              <w:right w:val="single" w:sz="4" w:space="0" w:color="auto"/>
            </w:tcBorders>
          </w:tcPr>
          <w:p w14:paraId="2B45ACA1" w14:textId="77777777" w:rsidR="00320348" w:rsidRPr="00DB5740" w:rsidRDefault="00320348" w:rsidP="00320348">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2AFC6E16" w14:textId="77777777" w:rsidR="00320348" w:rsidRPr="00DB5740" w:rsidRDefault="00320348" w:rsidP="00320348">
            <w:pPr>
              <w:autoSpaceDE w:val="0"/>
              <w:autoSpaceDN w:val="0"/>
              <w:adjustRightInd w:val="0"/>
              <w:jc w:val="center"/>
            </w:pPr>
          </w:p>
        </w:tc>
        <w:tc>
          <w:tcPr>
            <w:tcW w:w="1907" w:type="pct"/>
          </w:tcPr>
          <w:p w14:paraId="3118146A" w14:textId="77777777" w:rsidR="00320348" w:rsidRPr="004C45EE" w:rsidRDefault="005B5528" w:rsidP="00320348">
            <w:pPr>
              <w:keepNext/>
              <w:keepLines/>
              <w:autoSpaceDE w:val="0"/>
              <w:autoSpaceDN w:val="0"/>
              <w:adjustRightInd w:val="0"/>
              <w:spacing w:after="120"/>
              <w:rPr>
                <w:b/>
                <w:bCs/>
              </w:rPr>
            </w:pPr>
            <w:r w:rsidRPr="0081220D">
              <w:rPr>
                <w:rFonts w:cs="Calibri"/>
                <w:b/>
                <w:bCs/>
              </w:rPr>
              <w:t>Forward-looking non-GAAP financial measures:</w:t>
            </w:r>
            <w:r w:rsidRPr="0081220D">
              <w:rPr>
                <w:rFonts w:cs="Calibri"/>
              </w:rPr>
              <w:t xml:space="preserve">  confirm that any forward-looking non-GAAP financial measures tha</w:t>
            </w:r>
            <w:r w:rsidRPr="0081220D">
              <w:rPr>
                <w:rFonts w:cs="Calibri"/>
              </w:rPr>
              <w:t xml:space="preserve">t exclude a quantitative reconciliation as permitted by </w:t>
            </w:r>
            <w:hyperlink r:id="rId124" w:anchor="p-229.10(e)(1)(i)(B)" w:history="1">
              <w:r w:rsidRPr="00D24201">
                <w:rPr>
                  <w:rStyle w:val="Hyperlink"/>
                  <w:rFonts w:cs="Calibri"/>
                </w:rPr>
                <w:t>Item 10(e)(1)(</w:t>
              </w:r>
              <w:r w:rsidR="00A6416D">
                <w:rPr>
                  <w:rStyle w:val="Hyperlink"/>
                  <w:rFonts w:cs="Calibri"/>
                </w:rPr>
                <w:t>i</w:t>
              </w:r>
              <w:r w:rsidRPr="00D24201">
                <w:rPr>
                  <w:rStyle w:val="Hyperlink"/>
                  <w:rFonts w:cs="Calibri"/>
                </w:rPr>
                <w:t>)(B)</w:t>
              </w:r>
            </w:hyperlink>
            <w:r w:rsidRPr="0081220D">
              <w:rPr>
                <w:rFonts w:cs="Calibri"/>
              </w:rPr>
              <w:t xml:space="preserve"> are presented with disclosure that (1) the company is relying on that exception</w:t>
            </w:r>
            <w:r w:rsidRPr="0081220D">
              <w:rPr>
                <w:rFonts w:cs="Calibri"/>
              </w:rPr>
              <w:t>, (2) identifies the information that is unavailable</w:t>
            </w:r>
            <w:r w:rsidR="00B95B54">
              <w:rPr>
                <w:rFonts w:cs="Calibri"/>
              </w:rPr>
              <w:t>,</w:t>
            </w:r>
            <w:r w:rsidRPr="0081220D">
              <w:rPr>
                <w:rFonts w:cs="Calibri"/>
              </w:rPr>
              <w:t xml:space="preserve"> and (3) discusses the probable significance of that information.  This disclosure must be in a location of equal or greater prominence. </w:t>
            </w:r>
          </w:p>
        </w:tc>
        <w:tc>
          <w:tcPr>
            <w:tcW w:w="925" w:type="pct"/>
            <w:tcBorders>
              <w:top w:val="single" w:sz="4" w:space="0" w:color="auto"/>
              <w:left w:val="single" w:sz="4" w:space="0" w:color="auto"/>
              <w:bottom w:val="single" w:sz="4" w:space="0" w:color="auto"/>
              <w:right w:val="single" w:sz="4" w:space="0" w:color="auto"/>
            </w:tcBorders>
          </w:tcPr>
          <w:p w14:paraId="03D3F8DC" w14:textId="77777777" w:rsidR="00320348" w:rsidRPr="00DB5740" w:rsidRDefault="00320348" w:rsidP="00320348">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75FEB4EF" w14:textId="77777777" w:rsidR="00320348" w:rsidRPr="00DB5740" w:rsidRDefault="00320348" w:rsidP="00320348">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47702AB0" w14:textId="77777777" w:rsidR="00320348" w:rsidRPr="00DB5740" w:rsidRDefault="005B5528" w:rsidP="00320348">
            <w:pPr>
              <w:jc w:val="center"/>
            </w:pPr>
            <w:r w:rsidRPr="00DB5740">
              <w:t xml:space="preserve">Yes </w:t>
            </w:r>
            <w:r w:rsidRPr="00DB5740">
              <w:rPr>
                <w:rFonts w:ascii="Segoe UI Symbol" w:eastAsia="MS Gothic" w:hAnsi="Segoe UI Symbol" w:cs="Segoe UI Symbol"/>
              </w:rPr>
              <w:t>☐</w:t>
            </w:r>
          </w:p>
          <w:p w14:paraId="35227123" w14:textId="77777777" w:rsidR="00320348" w:rsidRPr="00DB5740" w:rsidRDefault="005B5528" w:rsidP="00320348">
            <w:pPr>
              <w:jc w:val="center"/>
            </w:pPr>
            <w:r w:rsidRPr="00DB5740">
              <w:t xml:space="preserve">No  </w:t>
            </w:r>
            <w:r w:rsidRPr="00DB5740">
              <w:rPr>
                <w:rFonts w:ascii="Segoe UI Symbol" w:eastAsia="MS Gothic" w:hAnsi="Segoe UI Symbol" w:cs="Segoe UI Symbol"/>
              </w:rPr>
              <w:t>☐</w:t>
            </w:r>
          </w:p>
        </w:tc>
      </w:tr>
      <w:tr w:rsidR="00000000" w14:paraId="2B5A4127" w14:textId="77777777" w:rsidTr="00B051D1">
        <w:trPr>
          <w:cantSplit/>
          <w:jc w:val="center"/>
        </w:trPr>
        <w:tc>
          <w:tcPr>
            <w:tcW w:w="685" w:type="pct"/>
            <w:tcBorders>
              <w:top w:val="single" w:sz="4" w:space="0" w:color="auto"/>
              <w:left w:val="single" w:sz="4" w:space="0" w:color="auto"/>
              <w:bottom w:val="single" w:sz="4" w:space="0" w:color="auto"/>
              <w:right w:val="single" w:sz="4" w:space="0" w:color="auto"/>
            </w:tcBorders>
          </w:tcPr>
          <w:p w14:paraId="14B3EAA6" w14:textId="77777777" w:rsidR="00320348" w:rsidRPr="00DB5740" w:rsidRDefault="00320348" w:rsidP="00320348">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553DA1B1" w14:textId="77777777" w:rsidR="00320348" w:rsidRPr="00DB5740" w:rsidRDefault="00320348" w:rsidP="00320348">
            <w:pPr>
              <w:autoSpaceDE w:val="0"/>
              <w:autoSpaceDN w:val="0"/>
              <w:adjustRightInd w:val="0"/>
              <w:jc w:val="center"/>
            </w:pPr>
          </w:p>
        </w:tc>
        <w:tc>
          <w:tcPr>
            <w:tcW w:w="1907" w:type="pct"/>
          </w:tcPr>
          <w:p w14:paraId="3870F6C4" w14:textId="77777777" w:rsidR="00320348" w:rsidRPr="004C45EE" w:rsidRDefault="005B5528" w:rsidP="00320348">
            <w:pPr>
              <w:keepNext/>
              <w:keepLines/>
              <w:autoSpaceDE w:val="0"/>
              <w:autoSpaceDN w:val="0"/>
              <w:adjustRightInd w:val="0"/>
              <w:spacing w:after="120"/>
              <w:rPr>
                <w:b/>
                <w:bCs/>
              </w:rPr>
            </w:pPr>
            <w:r w:rsidRPr="0081220D">
              <w:rPr>
                <w:rFonts w:cs="Calibri"/>
                <w:b/>
                <w:bCs/>
              </w:rPr>
              <w:t>Discussion and analysis of non-GAAP financial me</w:t>
            </w:r>
            <w:r w:rsidRPr="0081220D">
              <w:rPr>
                <w:rFonts w:cs="Calibri"/>
                <w:b/>
                <w:bCs/>
              </w:rPr>
              <w:t>asures:</w:t>
            </w:r>
            <w:r w:rsidRPr="0081220D">
              <w:rPr>
                <w:rFonts w:cs="Calibri"/>
              </w:rPr>
              <w:t xml:space="preserve"> confirm that any discussion and analysis of non-GAAP financial measures is accompanied by similar discussion and analysis of the comparable GAAP measure in a location with equal or greater prominence.</w:t>
            </w:r>
          </w:p>
        </w:tc>
        <w:tc>
          <w:tcPr>
            <w:tcW w:w="925" w:type="pct"/>
            <w:tcBorders>
              <w:top w:val="single" w:sz="4" w:space="0" w:color="auto"/>
              <w:left w:val="single" w:sz="4" w:space="0" w:color="auto"/>
              <w:bottom w:val="single" w:sz="4" w:space="0" w:color="auto"/>
              <w:right w:val="single" w:sz="4" w:space="0" w:color="auto"/>
            </w:tcBorders>
          </w:tcPr>
          <w:p w14:paraId="60B79385" w14:textId="77777777" w:rsidR="00320348" w:rsidRPr="00DB5740" w:rsidRDefault="00320348" w:rsidP="00320348">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7DA338BE" w14:textId="77777777" w:rsidR="00320348" w:rsidRPr="00DB5740" w:rsidRDefault="00320348" w:rsidP="00320348">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79C4D2A5" w14:textId="77777777" w:rsidR="00320348" w:rsidRPr="00DB5740" w:rsidRDefault="005B5528" w:rsidP="00320348">
            <w:pPr>
              <w:jc w:val="center"/>
            </w:pPr>
            <w:r w:rsidRPr="00DB5740">
              <w:t xml:space="preserve">Yes </w:t>
            </w:r>
            <w:r w:rsidRPr="00DB5740">
              <w:rPr>
                <w:rFonts w:ascii="Segoe UI Symbol" w:eastAsia="MS Gothic" w:hAnsi="Segoe UI Symbol" w:cs="Segoe UI Symbol"/>
              </w:rPr>
              <w:t>☐</w:t>
            </w:r>
          </w:p>
          <w:p w14:paraId="0ED20D70" w14:textId="77777777" w:rsidR="00320348" w:rsidRPr="00DB5740" w:rsidRDefault="005B5528" w:rsidP="00320348">
            <w:pPr>
              <w:jc w:val="center"/>
            </w:pPr>
            <w:r w:rsidRPr="00DB5740">
              <w:t xml:space="preserve">No  </w:t>
            </w:r>
            <w:r w:rsidRPr="00DB5740">
              <w:rPr>
                <w:rFonts w:ascii="Segoe UI Symbol" w:eastAsia="MS Gothic" w:hAnsi="Segoe UI Symbol" w:cs="Segoe UI Symbol"/>
              </w:rPr>
              <w:t>☐</w:t>
            </w:r>
          </w:p>
        </w:tc>
      </w:tr>
      <w:tr w:rsidR="00000000" w14:paraId="58BC3FEC" w14:textId="77777777" w:rsidTr="00B051D1">
        <w:trPr>
          <w:cantSplit/>
          <w:jc w:val="center"/>
        </w:trPr>
        <w:tc>
          <w:tcPr>
            <w:tcW w:w="685" w:type="pct"/>
            <w:tcBorders>
              <w:top w:val="single" w:sz="4" w:space="0" w:color="auto"/>
              <w:left w:val="single" w:sz="4" w:space="0" w:color="auto"/>
              <w:bottom w:val="single" w:sz="4" w:space="0" w:color="auto"/>
              <w:right w:val="single" w:sz="4" w:space="0" w:color="auto"/>
            </w:tcBorders>
          </w:tcPr>
          <w:p w14:paraId="4082493D" w14:textId="77777777" w:rsidR="00320348" w:rsidRPr="00DB5740" w:rsidRDefault="00320348" w:rsidP="00320348">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61407B5B" w14:textId="77777777" w:rsidR="00320348" w:rsidRPr="00DB5740" w:rsidRDefault="00320348" w:rsidP="00320348">
            <w:pPr>
              <w:autoSpaceDE w:val="0"/>
              <w:autoSpaceDN w:val="0"/>
              <w:adjustRightInd w:val="0"/>
              <w:jc w:val="center"/>
            </w:pPr>
          </w:p>
        </w:tc>
        <w:tc>
          <w:tcPr>
            <w:tcW w:w="1907" w:type="pct"/>
          </w:tcPr>
          <w:p w14:paraId="01C935DE" w14:textId="77777777" w:rsidR="00320348" w:rsidRPr="004C45EE" w:rsidRDefault="005B5528" w:rsidP="00320348">
            <w:pPr>
              <w:keepNext/>
              <w:keepLines/>
              <w:autoSpaceDE w:val="0"/>
              <w:autoSpaceDN w:val="0"/>
              <w:adjustRightInd w:val="0"/>
              <w:spacing w:after="120"/>
              <w:rPr>
                <w:b/>
                <w:bCs/>
              </w:rPr>
            </w:pPr>
            <w:r w:rsidRPr="0081220D">
              <w:rPr>
                <w:rFonts w:cs="Calibri"/>
                <w:b/>
                <w:bCs/>
              </w:rPr>
              <w:t>Presentation style or format (</w:t>
            </w:r>
            <w:r w:rsidRPr="0081220D">
              <w:rPr>
                <w:rFonts w:cs="Calibri"/>
                <w:b/>
                <w:bCs/>
              </w:rPr>
              <w:t>for example, bold or larger fonts):</w:t>
            </w:r>
            <w:r w:rsidRPr="0081220D">
              <w:rPr>
                <w:rFonts w:cs="Calibri"/>
              </w:rPr>
              <w:t xml:space="preserve"> confirm the Form 10-K does not contain disclosure that emphasizes a non-GAAP financial measure over the comparable GAAP measure as a result of the presentation style or format or as a result of omitting the comparable GA</w:t>
            </w:r>
            <w:r w:rsidRPr="0081220D">
              <w:rPr>
                <w:rFonts w:cs="Calibri"/>
              </w:rPr>
              <w:t>AP measure.</w:t>
            </w:r>
          </w:p>
        </w:tc>
        <w:tc>
          <w:tcPr>
            <w:tcW w:w="925" w:type="pct"/>
            <w:tcBorders>
              <w:top w:val="single" w:sz="4" w:space="0" w:color="auto"/>
              <w:left w:val="single" w:sz="4" w:space="0" w:color="auto"/>
              <w:bottom w:val="single" w:sz="4" w:space="0" w:color="auto"/>
              <w:right w:val="single" w:sz="4" w:space="0" w:color="auto"/>
            </w:tcBorders>
          </w:tcPr>
          <w:p w14:paraId="1F243707" w14:textId="77777777" w:rsidR="00320348" w:rsidRPr="00DB5740" w:rsidRDefault="00320348" w:rsidP="00320348">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4B5FD5EC" w14:textId="77777777" w:rsidR="00320348" w:rsidRPr="00DB5740" w:rsidRDefault="00320348" w:rsidP="00320348">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369E8910" w14:textId="77777777" w:rsidR="00320348" w:rsidRPr="00DB5740" w:rsidRDefault="005B5528" w:rsidP="00320348">
            <w:pPr>
              <w:jc w:val="center"/>
            </w:pPr>
            <w:r w:rsidRPr="00DB5740">
              <w:t xml:space="preserve">Yes </w:t>
            </w:r>
            <w:r w:rsidRPr="00DB5740">
              <w:rPr>
                <w:rFonts w:ascii="Segoe UI Symbol" w:eastAsia="MS Gothic" w:hAnsi="Segoe UI Symbol" w:cs="Segoe UI Symbol"/>
              </w:rPr>
              <w:t>☐</w:t>
            </w:r>
          </w:p>
          <w:p w14:paraId="7AFD0BD7" w14:textId="77777777" w:rsidR="00320348" w:rsidRPr="00DB5740" w:rsidRDefault="005B5528" w:rsidP="00320348">
            <w:pPr>
              <w:jc w:val="center"/>
            </w:pPr>
            <w:r w:rsidRPr="00DB5740">
              <w:t xml:space="preserve">No  </w:t>
            </w:r>
            <w:r w:rsidRPr="00DB5740">
              <w:rPr>
                <w:rFonts w:ascii="Segoe UI Symbol" w:eastAsia="MS Gothic" w:hAnsi="Segoe UI Symbol" w:cs="Segoe UI Symbol"/>
              </w:rPr>
              <w:t>☐</w:t>
            </w:r>
          </w:p>
        </w:tc>
      </w:tr>
      <w:tr w:rsidR="00000000" w14:paraId="5E6B8972" w14:textId="77777777" w:rsidTr="00B051D1">
        <w:trPr>
          <w:cantSplit/>
          <w:jc w:val="center"/>
        </w:trPr>
        <w:tc>
          <w:tcPr>
            <w:tcW w:w="685" w:type="pct"/>
            <w:tcBorders>
              <w:top w:val="single" w:sz="4" w:space="0" w:color="auto"/>
              <w:left w:val="single" w:sz="4" w:space="0" w:color="auto"/>
              <w:bottom w:val="single" w:sz="4" w:space="0" w:color="auto"/>
              <w:right w:val="single" w:sz="4" w:space="0" w:color="auto"/>
            </w:tcBorders>
          </w:tcPr>
          <w:p w14:paraId="48ED34A6" w14:textId="77777777" w:rsidR="00320348" w:rsidRPr="00DB5740" w:rsidRDefault="00320348" w:rsidP="00320348">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4F099E11" w14:textId="77777777" w:rsidR="00320348" w:rsidRPr="00DB5740" w:rsidRDefault="00320348" w:rsidP="00320348">
            <w:pPr>
              <w:autoSpaceDE w:val="0"/>
              <w:autoSpaceDN w:val="0"/>
              <w:adjustRightInd w:val="0"/>
              <w:jc w:val="center"/>
            </w:pPr>
          </w:p>
        </w:tc>
        <w:tc>
          <w:tcPr>
            <w:tcW w:w="1907" w:type="pct"/>
          </w:tcPr>
          <w:p w14:paraId="3F01E33E" w14:textId="77777777" w:rsidR="00320348" w:rsidRPr="004C45EE" w:rsidRDefault="005B5528" w:rsidP="00320348">
            <w:pPr>
              <w:keepNext/>
              <w:keepLines/>
              <w:autoSpaceDE w:val="0"/>
              <w:autoSpaceDN w:val="0"/>
              <w:adjustRightInd w:val="0"/>
              <w:spacing w:after="120"/>
              <w:rPr>
                <w:b/>
                <w:bCs/>
              </w:rPr>
            </w:pPr>
            <w:r w:rsidRPr="0081220D">
              <w:rPr>
                <w:rFonts w:cs="Calibri"/>
                <w:b/>
                <w:bCs/>
              </w:rPr>
              <w:t xml:space="preserve">Descriptive characterizations, such as “record performance” or “exceptional”: </w:t>
            </w:r>
            <w:r w:rsidRPr="0081220D">
              <w:rPr>
                <w:rFonts w:cs="Calibri"/>
              </w:rPr>
              <w:t>confirm that the Form 10-K does not use descriptive terms such as “record performance” or “exceptional” for a non-GAAP financial measure unless it in</w:t>
            </w:r>
            <w:r w:rsidRPr="0081220D">
              <w:rPr>
                <w:rFonts w:cs="Calibri"/>
              </w:rPr>
              <w:t>cludes a descriptive characterization of the comparable GAAP measure that is at least equally prominent.</w:t>
            </w:r>
          </w:p>
        </w:tc>
        <w:tc>
          <w:tcPr>
            <w:tcW w:w="925" w:type="pct"/>
            <w:tcBorders>
              <w:top w:val="single" w:sz="4" w:space="0" w:color="auto"/>
              <w:left w:val="single" w:sz="4" w:space="0" w:color="auto"/>
              <w:bottom w:val="single" w:sz="4" w:space="0" w:color="auto"/>
              <w:right w:val="single" w:sz="4" w:space="0" w:color="auto"/>
            </w:tcBorders>
          </w:tcPr>
          <w:p w14:paraId="46779F09" w14:textId="77777777" w:rsidR="00320348" w:rsidRPr="00DB5740" w:rsidRDefault="00320348" w:rsidP="00320348">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761CEA1E" w14:textId="77777777" w:rsidR="00320348" w:rsidRPr="00DB5740" w:rsidRDefault="00320348" w:rsidP="00320348">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4E4E7689" w14:textId="77777777" w:rsidR="00320348" w:rsidRPr="00DB5740" w:rsidRDefault="005B5528" w:rsidP="00320348">
            <w:pPr>
              <w:jc w:val="center"/>
            </w:pPr>
            <w:r w:rsidRPr="00DB5740">
              <w:t xml:space="preserve">Yes </w:t>
            </w:r>
            <w:r w:rsidRPr="00DB5740">
              <w:rPr>
                <w:rFonts w:ascii="Segoe UI Symbol" w:eastAsia="MS Gothic" w:hAnsi="Segoe UI Symbol" w:cs="Segoe UI Symbol"/>
              </w:rPr>
              <w:t>☐</w:t>
            </w:r>
          </w:p>
          <w:p w14:paraId="33264681" w14:textId="77777777" w:rsidR="00320348" w:rsidRPr="00DB5740" w:rsidRDefault="005B5528" w:rsidP="00320348">
            <w:pPr>
              <w:jc w:val="center"/>
            </w:pPr>
            <w:r w:rsidRPr="00DB5740">
              <w:t xml:space="preserve">No  </w:t>
            </w:r>
            <w:r w:rsidRPr="00DB5740">
              <w:rPr>
                <w:rFonts w:ascii="Segoe UI Symbol" w:eastAsia="MS Gothic" w:hAnsi="Segoe UI Symbol" w:cs="Segoe UI Symbol"/>
              </w:rPr>
              <w:t>☐</w:t>
            </w:r>
          </w:p>
        </w:tc>
      </w:tr>
      <w:tr w:rsidR="00000000" w14:paraId="6D417F95" w14:textId="77777777" w:rsidTr="00B051D1">
        <w:trPr>
          <w:cantSplit/>
          <w:jc w:val="center"/>
        </w:trPr>
        <w:tc>
          <w:tcPr>
            <w:tcW w:w="685" w:type="pct"/>
            <w:tcBorders>
              <w:top w:val="single" w:sz="4" w:space="0" w:color="auto"/>
              <w:left w:val="single" w:sz="4" w:space="0" w:color="auto"/>
              <w:bottom w:val="single" w:sz="4" w:space="0" w:color="auto"/>
              <w:right w:val="single" w:sz="4" w:space="0" w:color="auto"/>
            </w:tcBorders>
          </w:tcPr>
          <w:p w14:paraId="5E84B84C" w14:textId="77777777" w:rsidR="00320348" w:rsidRPr="00DB5740" w:rsidRDefault="00320348" w:rsidP="00320348">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249F2C4E" w14:textId="77777777" w:rsidR="00320348" w:rsidRPr="00DB5740" w:rsidRDefault="00320348" w:rsidP="00320348">
            <w:pPr>
              <w:autoSpaceDE w:val="0"/>
              <w:autoSpaceDN w:val="0"/>
              <w:adjustRightInd w:val="0"/>
              <w:jc w:val="center"/>
            </w:pPr>
          </w:p>
        </w:tc>
        <w:tc>
          <w:tcPr>
            <w:tcW w:w="1907" w:type="pct"/>
          </w:tcPr>
          <w:p w14:paraId="09736702" w14:textId="77777777" w:rsidR="00320348" w:rsidRPr="004C45EE" w:rsidRDefault="005B5528" w:rsidP="00320348">
            <w:pPr>
              <w:keepNext/>
              <w:keepLines/>
              <w:autoSpaceDE w:val="0"/>
              <w:autoSpaceDN w:val="0"/>
              <w:adjustRightInd w:val="0"/>
              <w:spacing w:after="120"/>
              <w:rPr>
                <w:b/>
                <w:bCs/>
              </w:rPr>
            </w:pPr>
            <w:r w:rsidRPr="0081220D">
              <w:rPr>
                <w:rFonts w:cs="Calibri"/>
                <w:b/>
                <w:bCs/>
              </w:rPr>
              <w:t>Reconciliations that begin with a non-GAAP financial measure:</w:t>
            </w:r>
            <w:r w:rsidRPr="0081220D">
              <w:rPr>
                <w:rFonts w:cs="Calibri"/>
              </w:rPr>
              <w:t xml:space="preserve"> confirm that the reconciliations of non-GAAP financial measures do not b</w:t>
            </w:r>
            <w:r w:rsidRPr="0081220D">
              <w:rPr>
                <w:rFonts w:cs="Calibri"/>
              </w:rPr>
              <w:t>egin at the top with a non-GAAP financial measure, which the staff states would give greater prominence to the non-GAAP financial measure than the comparable GAAP measure.  Note that this is a new interpretive position.</w:t>
            </w:r>
          </w:p>
        </w:tc>
        <w:tc>
          <w:tcPr>
            <w:tcW w:w="925" w:type="pct"/>
            <w:tcBorders>
              <w:top w:val="single" w:sz="4" w:space="0" w:color="auto"/>
              <w:left w:val="single" w:sz="4" w:space="0" w:color="auto"/>
              <w:bottom w:val="single" w:sz="4" w:space="0" w:color="auto"/>
              <w:right w:val="single" w:sz="4" w:space="0" w:color="auto"/>
            </w:tcBorders>
          </w:tcPr>
          <w:p w14:paraId="2B4373D2" w14:textId="77777777" w:rsidR="00320348" w:rsidRPr="00DB5740" w:rsidRDefault="00320348" w:rsidP="00320348">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55BF0CB0" w14:textId="77777777" w:rsidR="00320348" w:rsidRPr="00DB5740" w:rsidRDefault="00320348" w:rsidP="00320348">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1D56AE21" w14:textId="77777777" w:rsidR="00320348" w:rsidRPr="00DB5740" w:rsidRDefault="005B5528" w:rsidP="00320348">
            <w:pPr>
              <w:jc w:val="center"/>
            </w:pPr>
            <w:r w:rsidRPr="00DB5740">
              <w:t xml:space="preserve">Yes </w:t>
            </w:r>
            <w:r w:rsidRPr="00DB5740">
              <w:rPr>
                <w:rFonts w:ascii="Segoe UI Symbol" w:eastAsia="MS Gothic" w:hAnsi="Segoe UI Symbol" w:cs="Segoe UI Symbol"/>
              </w:rPr>
              <w:t>☐</w:t>
            </w:r>
          </w:p>
          <w:p w14:paraId="2162FAF0" w14:textId="77777777" w:rsidR="00320348" w:rsidRPr="00DB5740" w:rsidRDefault="005B5528" w:rsidP="00320348">
            <w:pPr>
              <w:jc w:val="center"/>
            </w:pPr>
            <w:r w:rsidRPr="00DB5740">
              <w:t xml:space="preserve">No  </w:t>
            </w:r>
            <w:r w:rsidRPr="00DB5740">
              <w:rPr>
                <w:rFonts w:ascii="Segoe UI Symbol" w:eastAsia="MS Gothic" w:hAnsi="Segoe UI Symbol" w:cs="Segoe UI Symbol"/>
              </w:rPr>
              <w:t>☐</w:t>
            </w:r>
          </w:p>
        </w:tc>
      </w:tr>
      <w:tr w:rsidR="00000000" w14:paraId="604C3163" w14:textId="77777777" w:rsidTr="00B051D1">
        <w:trPr>
          <w:cantSplit/>
          <w:jc w:val="center"/>
        </w:trPr>
        <w:tc>
          <w:tcPr>
            <w:tcW w:w="685" w:type="pct"/>
            <w:tcBorders>
              <w:top w:val="single" w:sz="4" w:space="0" w:color="auto"/>
              <w:left w:val="single" w:sz="4" w:space="0" w:color="auto"/>
              <w:bottom w:val="single" w:sz="4" w:space="0" w:color="auto"/>
              <w:right w:val="single" w:sz="4" w:space="0" w:color="auto"/>
            </w:tcBorders>
          </w:tcPr>
          <w:p w14:paraId="04C87264" w14:textId="77777777" w:rsidR="00320348" w:rsidRPr="00DB5740" w:rsidRDefault="00320348" w:rsidP="00320348">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18D9122A" w14:textId="77777777" w:rsidR="00320348" w:rsidRPr="00DB5740" w:rsidRDefault="00320348" w:rsidP="00320348">
            <w:pPr>
              <w:autoSpaceDE w:val="0"/>
              <w:autoSpaceDN w:val="0"/>
              <w:adjustRightInd w:val="0"/>
              <w:jc w:val="center"/>
            </w:pPr>
          </w:p>
        </w:tc>
        <w:tc>
          <w:tcPr>
            <w:tcW w:w="1907" w:type="pct"/>
          </w:tcPr>
          <w:p w14:paraId="5A9A92B3" w14:textId="77777777" w:rsidR="00320348" w:rsidRPr="004C45EE" w:rsidRDefault="005B5528" w:rsidP="00320348">
            <w:pPr>
              <w:keepNext/>
              <w:keepLines/>
              <w:autoSpaceDE w:val="0"/>
              <w:autoSpaceDN w:val="0"/>
              <w:adjustRightInd w:val="0"/>
              <w:spacing w:after="120"/>
              <w:rPr>
                <w:b/>
                <w:bCs/>
              </w:rPr>
            </w:pPr>
            <w:r w:rsidRPr="0081220D">
              <w:rPr>
                <w:rFonts w:cs="Calibri"/>
                <w:b/>
                <w:bCs/>
              </w:rPr>
              <w:t>Non-GAAP income sta</w:t>
            </w:r>
            <w:r w:rsidRPr="0081220D">
              <w:rPr>
                <w:rFonts w:cs="Calibri"/>
                <w:b/>
                <w:bCs/>
              </w:rPr>
              <w:t>tements:</w:t>
            </w:r>
            <w:r w:rsidRPr="0081220D">
              <w:rPr>
                <w:rFonts w:cs="Calibri"/>
              </w:rPr>
              <w:t xml:space="preserve"> confirm that the Form 10-K does not include any “non-GAAP income statements,” presented either alone or as part of a required non-GAAP reconciliation.  The C&amp;DIs </w:t>
            </w:r>
            <w:r>
              <w:rPr>
                <w:rFonts w:cs="Calibri"/>
              </w:rPr>
              <w:t xml:space="preserve">indicate that the staff </w:t>
            </w:r>
            <w:r w:rsidRPr="0081220D">
              <w:rPr>
                <w:rFonts w:cs="Calibri"/>
              </w:rPr>
              <w:t>considers an income statement comprised of non-GAAP financial</w:t>
            </w:r>
            <w:r w:rsidRPr="0081220D">
              <w:rPr>
                <w:rFonts w:cs="Calibri"/>
              </w:rPr>
              <w:t xml:space="preserve"> measures that includes all or most of the line items and subtotals found in a GAAP income statement to be a non-GAAP income statement. </w:t>
            </w:r>
          </w:p>
        </w:tc>
        <w:tc>
          <w:tcPr>
            <w:tcW w:w="925" w:type="pct"/>
            <w:tcBorders>
              <w:top w:val="single" w:sz="4" w:space="0" w:color="auto"/>
              <w:left w:val="single" w:sz="4" w:space="0" w:color="auto"/>
              <w:bottom w:val="single" w:sz="4" w:space="0" w:color="auto"/>
              <w:right w:val="single" w:sz="4" w:space="0" w:color="auto"/>
            </w:tcBorders>
          </w:tcPr>
          <w:p w14:paraId="76FAB4C4" w14:textId="77777777" w:rsidR="00320348" w:rsidRPr="00DB5740" w:rsidRDefault="00320348" w:rsidP="00320348">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0AF5B7F2" w14:textId="77777777" w:rsidR="00320348" w:rsidRPr="00DB5740" w:rsidRDefault="00320348" w:rsidP="00320348">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F9E7265" w14:textId="77777777" w:rsidR="00320348" w:rsidRPr="00DB5740" w:rsidRDefault="005B5528" w:rsidP="00320348">
            <w:pPr>
              <w:jc w:val="center"/>
            </w:pPr>
            <w:r w:rsidRPr="00DB5740">
              <w:t xml:space="preserve">Yes </w:t>
            </w:r>
            <w:r w:rsidRPr="00DB5740">
              <w:rPr>
                <w:rFonts w:ascii="Segoe UI Symbol" w:eastAsia="MS Gothic" w:hAnsi="Segoe UI Symbol" w:cs="Segoe UI Symbol"/>
              </w:rPr>
              <w:t>☐</w:t>
            </w:r>
          </w:p>
          <w:p w14:paraId="4C973800" w14:textId="77777777" w:rsidR="00320348" w:rsidRPr="00DB5740" w:rsidRDefault="005B5528" w:rsidP="00320348">
            <w:pPr>
              <w:jc w:val="center"/>
            </w:pPr>
            <w:r w:rsidRPr="00DB5740">
              <w:t xml:space="preserve">No  </w:t>
            </w:r>
            <w:r w:rsidRPr="00DB5740">
              <w:rPr>
                <w:rFonts w:ascii="Segoe UI Symbol" w:eastAsia="MS Gothic" w:hAnsi="Segoe UI Symbol" w:cs="Segoe UI Symbol"/>
              </w:rPr>
              <w:t>☐</w:t>
            </w:r>
          </w:p>
        </w:tc>
      </w:tr>
      <w:tr w:rsidR="00000000" w14:paraId="1FD6D098" w14:textId="77777777" w:rsidTr="000C644E">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660F978D" w14:textId="77777777" w:rsidR="00320348" w:rsidRPr="00DB5740" w:rsidRDefault="00320348" w:rsidP="00320348">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7F35EE56" w14:textId="77777777" w:rsidR="00320348" w:rsidRPr="00DB5740" w:rsidRDefault="00320348" w:rsidP="00320348">
            <w:pPr>
              <w:autoSpaceDE w:val="0"/>
              <w:autoSpaceDN w:val="0"/>
              <w:adjustRightInd w:val="0"/>
              <w:jc w:val="center"/>
            </w:pPr>
          </w:p>
        </w:tc>
        <w:tc>
          <w:tcPr>
            <w:tcW w:w="1907" w:type="pct"/>
            <w:shd w:val="clear" w:color="auto" w:fill="auto"/>
          </w:tcPr>
          <w:p w14:paraId="53054B95" w14:textId="77777777" w:rsidR="00320348" w:rsidRPr="0081220D" w:rsidRDefault="005B5528" w:rsidP="00320348">
            <w:pPr>
              <w:pStyle w:val="BodyText"/>
              <w:spacing w:after="120"/>
              <w:rPr>
                <w:rFonts w:cs="Calibri"/>
              </w:rPr>
            </w:pPr>
            <w:r w:rsidRPr="0081220D">
              <w:rPr>
                <w:rFonts w:cs="Calibri"/>
                <w:b/>
                <w:bCs/>
                <w:i/>
                <w:iCs/>
              </w:rPr>
              <w:t>All Non-GAAP Financial Measures</w:t>
            </w:r>
          </w:p>
          <w:p w14:paraId="0D31742A" w14:textId="77777777" w:rsidR="00320348" w:rsidRPr="004C45EE" w:rsidRDefault="005B5528" w:rsidP="00320348">
            <w:pPr>
              <w:keepNext/>
              <w:keepLines/>
              <w:autoSpaceDE w:val="0"/>
              <w:autoSpaceDN w:val="0"/>
              <w:adjustRightInd w:val="0"/>
              <w:spacing w:after="120"/>
              <w:rPr>
                <w:b/>
                <w:bCs/>
              </w:rPr>
            </w:pPr>
            <w:r w:rsidRPr="0081220D">
              <w:rPr>
                <w:rFonts w:cs="Calibri"/>
              </w:rPr>
              <w:t xml:space="preserve">The December 2022 C&amp;DIs that are summarized below apply to all public </w:t>
            </w:r>
            <w:r w:rsidRPr="0081220D">
              <w:rPr>
                <w:rFonts w:cs="Calibri"/>
              </w:rPr>
              <w:t>disclosures of non-GAAP financial measures, whether or not filed with the SEC and whether written or oral.</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3D422B5A" w14:textId="77777777" w:rsidR="00320348" w:rsidRPr="00DB5740" w:rsidRDefault="00320348" w:rsidP="00320348">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2E85E919" w14:textId="77777777" w:rsidR="00320348" w:rsidRPr="00DB5740" w:rsidRDefault="00320348" w:rsidP="00320348">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C2FE8" w14:textId="77777777" w:rsidR="00320348" w:rsidRPr="00DB5740" w:rsidRDefault="00320348" w:rsidP="00320348">
            <w:pPr>
              <w:jc w:val="center"/>
            </w:pPr>
          </w:p>
        </w:tc>
      </w:tr>
      <w:tr w:rsidR="00000000" w14:paraId="28D73DE8" w14:textId="77777777" w:rsidTr="00B051D1">
        <w:trPr>
          <w:cantSplit/>
          <w:jc w:val="center"/>
        </w:trPr>
        <w:tc>
          <w:tcPr>
            <w:tcW w:w="685" w:type="pct"/>
            <w:tcBorders>
              <w:top w:val="single" w:sz="4" w:space="0" w:color="auto"/>
              <w:left w:val="single" w:sz="4" w:space="0" w:color="auto"/>
              <w:bottom w:val="single" w:sz="4" w:space="0" w:color="auto"/>
              <w:right w:val="single" w:sz="4" w:space="0" w:color="auto"/>
            </w:tcBorders>
          </w:tcPr>
          <w:p w14:paraId="0F0D0D9F" w14:textId="77777777" w:rsidR="00320348" w:rsidRPr="00DB5740" w:rsidRDefault="00320348" w:rsidP="00320348">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02D03B4C" w14:textId="77777777" w:rsidR="00320348" w:rsidRPr="00DB5740" w:rsidRDefault="00320348" w:rsidP="00320348">
            <w:pPr>
              <w:autoSpaceDE w:val="0"/>
              <w:autoSpaceDN w:val="0"/>
              <w:adjustRightInd w:val="0"/>
              <w:jc w:val="center"/>
            </w:pPr>
          </w:p>
        </w:tc>
        <w:tc>
          <w:tcPr>
            <w:tcW w:w="1907" w:type="pct"/>
          </w:tcPr>
          <w:p w14:paraId="097F7E5F" w14:textId="77777777" w:rsidR="00320348" w:rsidRDefault="005B5528" w:rsidP="00320348">
            <w:pPr>
              <w:spacing w:after="120"/>
              <w:rPr>
                <w:rFonts w:cs="Calibri"/>
              </w:rPr>
            </w:pPr>
            <w:r w:rsidRPr="0081220D">
              <w:rPr>
                <w:rFonts w:cs="Calibri"/>
                <w:b/>
                <w:bCs/>
              </w:rPr>
              <w:t xml:space="preserve">Use of inappropriate labels or lack of clear descriptions: </w:t>
            </w:r>
            <w:r w:rsidRPr="0081220D">
              <w:rPr>
                <w:rFonts w:cs="Calibri"/>
              </w:rPr>
              <w:t xml:space="preserve"> The staff states that use of inappropriate labels or lack of clear descriptions may</w:t>
            </w:r>
            <w:r w:rsidRPr="0081220D">
              <w:rPr>
                <w:rFonts w:cs="Calibri"/>
              </w:rPr>
              <w:t xml:space="preserve"> result in a non-GAAP financial measure or adjustment being misleading.  </w:t>
            </w:r>
          </w:p>
          <w:p w14:paraId="7B1FB8FC" w14:textId="77777777" w:rsidR="00320348" w:rsidRPr="00C06911" w:rsidRDefault="004872AE" w:rsidP="00320348">
            <w:pPr>
              <w:spacing w:after="120"/>
              <w:rPr>
                <w:rFonts w:cs="Calibri"/>
              </w:rPr>
            </w:pPr>
            <w:r>
              <w:rPr>
                <w:rFonts w:cs="Calibri"/>
                <w:b/>
                <w:bCs/>
              </w:rPr>
              <w:t>A</w:t>
            </w:r>
            <w:r w:rsidR="005B5528" w:rsidRPr="0081220D">
              <w:rPr>
                <w:rFonts w:cs="Calibri"/>
                <w:b/>
                <w:bCs/>
              </w:rPr>
              <w:t xml:space="preserve"> C&amp;DI includes several examples of labels that the staff believes do not clearly identify the nature of a non-GAAP financial measure a</w:t>
            </w:r>
            <w:r w:rsidR="005B5528" w:rsidRPr="009D5E42">
              <w:rPr>
                <w:rFonts w:cs="Calibri"/>
                <w:b/>
                <w:bCs/>
              </w:rPr>
              <w:t>nd would vio</w:t>
            </w:r>
            <w:r w:rsidR="005B5528" w:rsidRPr="0081220D">
              <w:rPr>
                <w:rFonts w:cs="Calibri"/>
                <w:b/>
                <w:bCs/>
              </w:rPr>
              <w:t>late the prohibition of Rule 100(b)</w:t>
            </w:r>
            <w:r w:rsidR="005B5528" w:rsidRPr="0081220D">
              <w:rPr>
                <w:rFonts w:cs="Calibri"/>
                <w:b/>
                <w:bCs/>
              </w:rPr>
              <w:t xml:space="preserve"> of Regulation G against misleading disclosure of non-GAAP financial measures.  </w:t>
            </w:r>
            <w:r w:rsidR="005B5528" w:rsidRPr="00C06911">
              <w:rPr>
                <w:rFonts w:cs="Calibri"/>
              </w:rPr>
              <w:t>The examples include:</w:t>
            </w:r>
          </w:p>
          <w:p w14:paraId="0B088E68" w14:textId="77777777" w:rsidR="00320348" w:rsidRPr="0081220D" w:rsidRDefault="005B5528" w:rsidP="00320348">
            <w:pPr>
              <w:numPr>
                <w:ilvl w:val="0"/>
                <w:numId w:val="48"/>
              </w:numPr>
              <w:spacing w:after="120"/>
              <w:ind w:left="524" w:hanging="254"/>
              <w:rPr>
                <w:rFonts w:cs="Calibri"/>
              </w:rPr>
            </w:pPr>
            <w:r w:rsidRPr="0081220D">
              <w:rPr>
                <w:rFonts w:cs="Calibri"/>
              </w:rPr>
              <w:t xml:space="preserve">failing to </w:t>
            </w:r>
            <w:r w:rsidRPr="0081220D">
              <w:rPr>
                <w:rFonts w:cs="Calibri"/>
                <w:color w:val="000000"/>
              </w:rPr>
              <w:t>identify</w:t>
            </w:r>
            <w:r w:rsidRPr="0081220D">
              <w:rPr>
                <w:rFonts w:cs="Calibri"/>
              </w:rPr>
              <w:t xml:space="preserve"> and describe a measure as non-GAAP; and</w:t>
            </w:r>
          </w:p>
          <w:p w14:paraId="624BE181" w14:textId="77777777" w:rsidR="00320348" w:rsidRPr="0081220D" w:rsidRDefault="005B5528" w:rsidP="00320348">
            <w:pPr>
              <w:numPr>
                <w:ilvl w:val="0"/>
                <w:numId w:val="48"/>
              </w:numPr>
              <w:spacing w:after="120"/>
              <w:ind w:left="524" w:hanging="254"/>
              <w:rPr>
                <w:rFonts w:cs="Calibri"/>
              </w:rPr>
            </w:pPr>
            <w:r w:rsidRPr="0081220D">
              <w:rPr>
                <w:rFonts w:cs="Calibri"/>
              </w:rPr>
              <w:t>presenting a non-GAAP financial measure with a label that does not reflect the nature of the n</w:t>
            </w:r>
            <w:r w:rsidRPr="0081220D">
              <w:rPr>
                <w:rFonts w:cs="Calibri"/>
              </w:rPr>
              <w:t>on-GAAP measure, such as:</w:t>
            </w:r>
          </w:p>
          <w:p w14:paraId="1416F4C6" w14:textId="77777777" w:rsidR="00320348" w:rsidRPr="0081220D" w:rsidRDefault="005B5528" w:rsidP="00320348">
            <w:pPr>
              <w:numPr>
                <w:ilvl w:val="1"/>
                <w:numId w:val="48"/>
              </w:numPr>
              <w:spacing w:after="120"/>
              <w:ind w:left="1154" w:hanging="270"/>
              <w:rPr>
                <w:rFonts w:cs="Calibri"/>
              </w:rPr>
            </w:pPr>
            <w:r w:rsidRPr="0081220D">
              <w:rPr>
                <w:rFonts w:cs="Calibri"/>
              </w:rPr>
              <w:t>a contribution margin that is calculated as GAAP revenue less certain expenses, labeled “net revenue”;</w:t>
            </w:r>
          </w:p>
          <w:p w14:paraId="4FB8FA6A" w14:textId="77777777" w:rsidR="00320348" w:rsidRPr="0081220D" w:rsidRDefault="005B5528" w:rsidP="00320348">
            <w:pPr>
              <w:numPr>
                <w:ilvl w:val="1"/>
                <w:numId w:val="48"/>
              </w:numPr>
              <w:spacing w:after="120"/>
              <w:ind w:left="1154" w:hanging="270"/>
              <w:rPr>
                <w:rFonts w:cs="Calibri"/>
              </w:rPr>
            </w:pPr>
            <w:r w:rsidRPr="0081220D">
              <w:rPr>
                <w:rFonts w:cs="Calibri"/>
              </w:rPr>
              <w:t>a non-GAAP financial measure labeled the same as a GAAP line item or subtotal even though it is calculated differently than the</w:t>
            </w:r>
            <w:r w:rsidRPr="0081220D">
              <w:rPr>
                <w:rFonts w:cs="Calibri"/>
              </w:rPr>
              <w:t xml:space="preserve"> similarly labeled GAAP measure, such as “gross profit” or “sales”; and</w:t>
            </w:r>
          </w:p>
          <w:p w14:paraId="066B8DFA" w14:textId="77777777" w:rsidR="00320348" w:rsidRPr="0081220D" w:rsidRDefault="005B5528" w:rsidP="00320348">
            <w:pPr>
              <w:numPr>
                <w:ilvl w:val="1"/>
                <w:numId w:val="48"/>
              </w:numPr>
              <w:spacing w:after="120"/>
              <w:ind w:left="1154" w:hanging="270"/>
              <w:rPr>
                <w:rFonts w:cs="Calibri"/>
                <w:b/>
                <w:bCs/>
              </w:rPr>
            </w:pPr>
            <w:r w:rsidRPr="0081220D">
              <w:rPr>
                <w:rFonts w:cs="Calibri"/>
              </w:rPr>
              <w:t>a non-</w:t>
            </w:r>
            <w:r w:rsidRPr="0081220D">
              <w:rPr>
                <w:rFonts w:cs="Calibri"/>
                <w:color w:val="000000"/>
              </w:rPr>
              <w:t>GAAP</w:t>
            </w:r>
            <w:r w:rsidRPr="0081220D">
              <w:rPr>
                <w:rFonts w:cs="Calibri"/>
              </w:rPr>
              <w:t xml:space="preserve"> financial measure labeled “pro forma” that is not calculated in a manner consistent with the pro forma requirements in Article 11 of Regulation S-X.</w:t>
            </w:r>
          </w:p>
          <w:p w14:paraId="67325EA6" w14:textId="77777777" w:rsidR="00320348" w:rsidRPr="004C45EE" w:rsidRDefault="005B5528" w:rsidP="00320348">
            <w:pPr>
              <w:keepNext/>
              <w:keepLines/>
              <w:autoSpaceDE w:val="0"/>
              <w:autoSpaceDN w:val="0"/>
              <w:adjustRightInd w:val="0"/>
              <w:spacing w:after="120"/>
              <w:rPr>
                <w:b/>
                <w:bCs/>
              </w:rPr>
            </w:pPr>
            <w:r w:rsidRPr="0081220D">
              <w:rPr>
                <w:rFonts w:cs="Calibri"/>
              </w:rPr>
              <w:t>Confirm that the Form 10</w:t>
            </w:r>
            <w:r w:rsidRPr="0081220D">
              <w:rPr>
                <w:rFonts w:cs="Calibri"/>
              </w:rPr>
              <w:t xml:space="preserve">-K report does not contain descriptions of non-GAAP financial measures or adjustments that may be inappropriate or unclear.  </w:t>
            </w:r>
            <w:r w:rsidRPr="0081220D">
              <w:rPr>
                <w:rFonts w:cs="Calibri"/>
                <w:b/>
                <w:bCs/>
              </w:rPr>
              <w:t>Confirm especially that the Form 10-K report does not contain any non-GAAP financial measures or adjustments that are the same as o</w:t>
            </w:r>
            <w:r w:rsidRPr="0081220D">
              <w:rPr>
                <w:rFonts w:cs="Calibri"/>
                <w:b/>
                <w:bCs/>
              </w:rPr>
              <w:t>r similar to the examples in the bullet</w:t>
            </w:r>
            <w:r w:rsidR="009D5E42">
              <w:rPr>
                <w:rFonts w:cs="Calibri"/>
                <w:b/>
                <w:bCs/>
              </w:rPr>
              <w:t>s</w:t>
            </w:r>
            <w:r w:rsidRPr="0081220D">
              <w:rPr>
                <w:rFonts w:cs="Calibri"/>
                <w:b/>
                <w:bCs/>
              </w:rPr>
              <w:t xml:space="preserve"> </w:t>
            </w:r>
            <w:r w:rsidR="008D6760">
              <w:rPr>
                <w:rFonts w:cs="Calibri"/>
                <w:b/>
                <w:bCs/>
              </w:rPr>
              <w:t xml:space="preserve">immediately </w:t>
            </w:r>
            <w:r w:rsidRPr="0081220D">
              <w:rPr>
                <w:rFonts w:cs="Calibri"/>
                <w:b/>
                <w:bCs/>
              </w:rPr>
              <w:t>above.</w:t>
            </w:r>
          </w:p>
        </w:tc>
        <w:tc>
          <w:tcPr>
            <w:tcW w:w="925" w:type="pct"/>
            <w:tcBorders>
              <w:top w:val="single" w:sz="4" w:space="0" w:color="auto"/>
              <w:left w:val="single" w:sz="4" w:space="0" w:color="auto"/>
              <w:bottom w:val="single" w:sz="4" w:space="0" w:color="auto"/>
              <w:right w:val="single" w:sz="4" w:space="0" w:color="auto"/>
            </w:tcBorders>
          </w:tcPr>
          <w:p w14:paraId="1265F44D" w14:textId="77777777" w:rsidR="00320348" w:rsidRPr="00DB5740" w:rsidRDefault="00320348" w:rsidP="00320348">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6C59FA52" w14:textId="77777777" w:rsidR="00320348" w:rsidRPr="00DB5740" w:rsidRDefault="00320348" w:rsidP="00320348">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52E51F83" w14:textId="77777777" w:rsidR="00320348" w:rsidRPr="00DB5740" w:rsidRDefault="005B5528" w:rsidP="00320348">
            <w:pPr>
              <w:jc w:val="center"/>
            </w:pPr>
            <w:r w:rsidRPr="00DB5740">
              <w:t xml:space="preserve">Yes </w:t>
            </w:r>
            <w:r w:rsidRPr="00DB5740">
              <w:rPr>
                <w:rFonts w:ascii="Segoe UI Symbol" w:eastAsia="MS Gothic" w:hAnsi="Segoe UI Symbol" w:cs="Segoe UI Symbol"/>
              </w:rPr>
              <w:t>☐</w:t>
            </w:r>
          </w:p>
          <w:p w14:paraId="3AF6CB04" w14:textId="77777777" w:rsidR="00320348" w:rsidRPr="00DB5740" w:rsidRDefault="005B5528" w:rsidP="00320348">
            <w:pPr>
              <w:jc w:val="center"/>
            </w:pPr>
            <w:r w:rsidRPr="00DB5740">
              <w:t xml:space="preserve">No  </w:t>
            </w:r>
            <w:r w:rsidRPr="00DB5740">
              <w:rPr>
                <w:rFonts w:ascii="Segoe UI Symbol" w:eastAsia="MS Gothic" w:hAnsi="Segoe UI Symbol" w:cs="Segoe UI Symbol"/>
              </w:rPr>
              <w:t>☐</w:t>
            </w:r>
          </w:p>
        </w:tc>
      </w:tr>
      <w:tr w:rsidR="00000000" w14:paraId="03C55113" w14:textId="77777777" w:rsidTr="00B051D1">
        <w:trPr>
          <w:cantSplit/>
          <w:jc w:val="center"/>
        </w:trPr>
        <w:tc>
          <w:tcPr>
            <w:tcW w:w="685" w:type="pct"/>
            <w:tcBorders>
              <w:top w:val="single" w:sz="4" w:space="0" w:color="auto"/>
              <w:left w:val="single" w:sz="4" w:space="0" w:color="auto"/>
              <w:bottom w:val="single" w:sz="4" w:space="0" w:color="auto"/>
              <w:right w:val="single" w:sz="4" w:space="0" w:color="auto"/>
            </w:tcBorders>
          </w:tcPr>
          <w:p w14:paraId="646EC4DF" w14:textId="77777777" w:rsidR="00320348" w:rsidRPr="00DB5740" w:rsidRDefault="00320348" w:rsidP="00320348">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088385D1" w14:textId="77777777" w:rsidR="00320348" w:rsidRPr="00DB5740" w:rsidRDefault="00320348" w:rsidP="00320348">
            <w:pPr>
              <w:autoSpaceDE w:val="0"/>
              <w:autoSpaceDN w:val="0"/>
              <w:adjustRightInd w:val="0"/>
              <w:jc w:val="center"/>
            </w:pPr>
          </w:p>
        </w:tc>
        <w:tc>
          <w:tcPr>
            <w:tcW w:w="1907" w:type="pct"/>
          </w:tcPr>
          <w:p w14:paraId="38B15E7F" w14:textId="77777777" w:rsidR="00320348" w:rsidRPr="0081220D" w:rsidRDefault="005B5528" w:rsidP="00320348">
            <w:pPr>
              <w:spacing w:after="120"/>
              <w:rPr>
                <w:rFonts w:cs="Calibri"/>
              </w:rPr>
            </w:pPr>
            <w:r w:rsidRPr="0081220D">
              <w:rPr>
                <w:rFonts w:cs="Calibri"/>
                <w:b/>
                <w:bCs/>
              </w:rPr>
              <w:t>Operating expenses that occur only occasionally, including at irregular intervals, are “recurring.”</w:t>
            </w:r>
            <w:r w:rsidRPr="0081220D">
              <w:rPr>
                <w:rFonts w:cs="Calibri"/>
              </w:rPr>
              <w:t xml:space="preserve">  </w:t>
            </w:r>
            <w:r w:rsidR="004872AE">
              <w:rPr>
                <w:rFonts w:cs="Calibri"/>
              </w:rPr>
              <w:t xml:space="preserve">A </w:t>
            </w:r>
            <w:r w:rsidRPr="0081220D">
              <w:rPr>
                <w:rFonts w:cs="Calibri"/>
              </w:rPr>
              <w:t>C&amp;DI</w:t>
            </w:r>
            <w:r>
              <w:rPr>
                <w:rFonts w:cs="Calibri"/>
              </w:rPr>
              <w:t xml:space="preserve"> indicates that the staff </w:t>
            </w:r>
            <w:r w:rsidRPr="0081220D">
              <w:rPr>
                <w:rFonts w:cs="Calibri"/>
              </w:rPr>
              <w:t>will view operating expenses as “recurring” ev</w:t>
            </w:r>
            <w:r w:rsidRPr="0081220D">
              <w:rPr>
                <w:rFonts w:cs="Calibri"/>
              </w:rPr>
              <w:t>en if they occur only occasionally or at irregular intervals, and that excluding normal recurring cash operating costs may be misleading.</w:t>
            </w:r>
          </w:p>
          <w:p w14:paraId="0782F120" w14:textId="77777777" w:rsidR="00320348" w:rsidRPr="0081220D" w:rsidRDefault="005B5528" w:rsidP="00320348">
            <w:pPr>
              <w:spacing w:after="120"/>
              <w:rPr>
                <w:rFonts w:cs="Calibri"/>
              </w:rPr>
            </w:pPr>
            <w:r w:rsidRPr="0081220D">
              <w:rPr>
                <w:rFonts w:cs="Calibri"/>
              </w:rPr>
              <w:t>This C&amp;DI may also indicate a staff view that identifying these types of operating expenses as non-recurring (or using</w:t>
            </w:r>
            <w:r w:rsidRPr="0081220D">
              <w:rPr>
                <w:rFonts w:cs="Calibri"/>
              </w:rPr>
              <w:t xml:space="preserve"> a similar characterization) may be viewed as misleading in violation of Regulation G.  This would be a broader limitation than provided in </w:t>
            </w:r>
            <w:hyperlink r:id="rId125" w:anchor="p-229.10(e)(1)(ii)(B)" w:history="1">
              <w:r w:rsidRPr="0081220D">
                <w:rPr>
                  <w:rStyle w:val="Hyperlink"/>
                  <w:rFonts w:cs="Calibri"/>
                </w:rPr>
                <w:t>Item 10(e)(1)(i</w:t>
              </w:r>
              <w:r w:rsidRPr="0081220D">
                <w:rPr>
                  <w:rStyle w:val="Hyperlink"/>
                  <w:rFonts w:cs="Calibri"/>
                </w:rPr>
                <w:t>i)(B)</w:t>
              </w:r>
            </w:hyperlink>
            <w:r w:rsidRPr="0081220D">
              <w:rPr>
                <w:rFonts w:cs="Calibri"/>
              </w:rPr>
              <w:t>, which specifically prohibits adjustments that eliminate or smooth items identified as non-recurring, infrequent or unusual when the nature of a charge or gain is such that it is reasonably likely to recur within two years or there was a similar cha</w:t>
            </w:r>
            <w:r w:rsidRPr="0081220D">
              <w:rPr>
                <w:rFonts w:cs="Calibri"/>
              </w:rPr>
              <w:t>rge or gain within the prior two years.</w:t>
            </w:r>
          </w:p>
          <w:p w14:paraId="45691AF0" w14:textId="77777777" w:rsidR="00320348" w:rsidRPr="0081220D" w:rsidRDefault="005B5528" w:rsidP="00320348">
            <w:pPr>
              <w:spacing w:after="120"/>
              <w:rPr>
                <w:rFonts w:cs="Calibri"/>
              </w:rPr>
            </w:pPr>
            <w:r w:rsidRPr="0081220D">
              <w:rPr>
                <w:rFonts w:cs="Calibri"/>
              </w:rPr>
              <w:t xml:space="preserve">This C&amp;DI may also be intended to restrict the types of expenses that can be identified as non-recurring, infrequent or unusual under Regulation G to a greater extent than those explicitly noted in </w:t>
            </w:r>
            <w:hyperlink r:id="rId126" w:anchor="p-229.10(e)(1)(ii)(B)" w:history="1">
              <w:r w:rsidRPr="0081220D">
                <w:rPr>
                  <w:rStyle w:val="Hyperlink"/>
                  <w:rFonts w:cs="Calibri"/>
                </w:rPr>
                <w:t>Item 10(e)(1)(ii)(B)</w:t>
              </w:r>
            </w:hyperlink>
            <w:r w:rsidRPr="0081220D">
              <w:rPr>
                <w:rFonts w:cs="Calibri"/>
              </w:rPr>
              <w:t>.</w:t>
            </w:r>
          </w:p>
          <w:p w14:paraId="6C3B3982" w14:textId="77777777" w:rsidR="00320348" w:rsidRPr="004C45EE" w:rsidRDefault="005B5528" w:rsidP="00320348">
            <w:pPr>
              <w:keepNext/>
              <w:keepLines/>
              <w:autoSpaceDE w:val="0"/>
              <w:autoSpaceDN w:val="0"/>
              <w:adjustRightInd w:val="0"/>
              <w:spacing w:after="120"/>
              <w:rPr>
                <w:b/>
                <w:bCs/>
              </w:rPr>
            </w:pPr>
            <w:r w:rsidRPr="0081220D">
              <w:rPr>
                <w:rFonts w:cs="Calibri"/>
              </w:rPr>
              <w:t>Confirm that any characterization of operating expenses as non-recurring, infrequent or unusual is consistent with the guidance in this C&amp;DI.</w:t>
            </w:r>
          </w:p>
        </w:tc>
        <w:tc>
          <w:tcPr>
            <w:tcW w:w="925" w:type="pct"/>
            <w:tcBorders>
              <w:top w:val="single" w:sz="4" w:space="0" w:color="auto"/>
              <w:left w:val="single" w:sz="4" w:space="0" w:color="auto"/>
              <w:bottom w:val="single" w:sz="4" w:space="0" w:color="auto"/>
              <w:right w:val="single" w:sz="4" w:space="0" w:color="auto"/>
            </w:tcBorders>
          </w:tcPr>
          <w:p w14:paraId="371A25A4" w14:textId="77777777" w:rsidR="00320348" w:rsidRPr="00DB5740" w:rsidRDefault="00320348" w:rsidP="00320348">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0122D056" w14:textId="77777777" w:rsidR="00320348" w:rsidRPr="00DB5740" w:rsidRDefault="00320348" w:rsidP="00320348">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2F9F18DC" w14:textId="77777777" w:rsidR="00320348" w:rsidRPr="00DB5740" w:rsidRDefault="005B5528" w:rsidP="00320348">
            <w:pPr>
              <w:jc w:val="center"/>
            </w:pPr>
            <w:r w:rsidRPr="00DB5740">
              <w:t xml:space="preserve">Yes </w:t>
            </w:r>
            <w:r w:rsidRPr="00DB5740">
              <w:rPr>
                <w:rFonts w:ascii="Segoe UI Symbol" w:eastAsia="MS Gothic" w:hAnsi="Segoe UI Symbol" w:cs="Segoe UI Symbol"/>
              </w:rPr>
              <w:t>☐</w:t>
            </w:r>
          </w:p>
          <w:p w14:paraId="05896A72" w14:textId="77777777" w:rsidR="00320348" w:rsidRPr="00DB5740" w:rsidRDefault="005B5528" w:rsidP="00320348">
            <w:pPr>
              <w:jc w:val="center"/>
            </w:pPr>
            <w:r w:rsidRPr="00DB5740">
              <w:t xml:space="preserve">No  </w:t>
            </w:r>
            <w:r w:rsidRPr="00DB5740">
              <w:rPr>
                <w:rFonts w:ascii="Segoe UI Symbol" w:eastAsia="MS Gothic" w:hAnsi="Segoe UI Symbol" w:cs="Segoe UI Symbol"/>
              </w:rPr>
              <w:t>☐</w:t>
            </w:r>
          </w:p>
        </w:tc>
      </w:tr>
      <w:tr w:rsidR="00000000" w14:paraId="60AEC74C" w14:textId="77777777" w:rsidTr="00B051D1">
        <w:trPr>
          <w:cantSplit/>
          <w:jc w:val="center"/>
        </w:trPr>
        <w:tc>
          <w:tcPr>
            <w:tcW w:w="685" w:type="pct"/>
            <w:tcBorders>
              <w:top w:val="single" w:sz="4" w:space="0" w:color="auto"/>
              <w:left w:val="single" w:sz="4" w:space="0" w:color="auto"/>
              <w:bottom w:val="single" w:sz="4" w:space="0" w:color="auto"/>
              <w:right w:val="single" w:sz="4" w:space="0" w:color="auto"/>
            </w:tcBorders>
          </w:tcPr>
          <w:p w14:paraId="43C403D5" w14:textId="77777777" w:rsidR="00320348" w:rsidRPr="00DB5740" w:rsidRDefault="00320348" w:rsidP="00320348">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51D3CDDE" w14:textId="77777777" w:rsidR="00320348" w:rsidRPr="00DB5740" w:rsidRDefault="00320348" w:rsidP="00320348">
            <w:pPr>
              <w:autoSpaceDE w:val="0"/>
              <w:autoSpaceDN w:val="0"/>
              <w:adjustRightInd w:val="0"/>
              <w:jc w:val="center"/>
            </w:pPr>
          </w:p>
        </w:tc>
        <w:tc>
          <w:tcPr>
            <w:tcW w:w="1907" w:type="pct"/>
          </w:tcPr>
          <w:p w14:paraId="458DAABE" w14:textId="77777777" w:rsidR="00320348" w:rsidRDefault="005B5528" w:rsidP="00320348">
            <w:pPr>
              <w:spacing w:after="120"/>
              <w:rPr>
                <w:rFonts w:cs="Calibri"/>
              </w:rPr>
            </w:pPr>
            <w:r w:rsidRPr="0081220D">
              <w:rPr>
                <w:rFonts w:cs="Calibri"/>
                <w:b/>
                <w:bCs/>
              </w:rPr>
              <w:t xml:space="preserve">Adjustments that change GAAP recognition and measurement principles:  </w:t>
            </w:r>
            <w:r w:rsidR="004872AE">
              <w:rPr>
                <w:rFonts w:cs="Calibri"/>
              </w:rPr>
              <w:t>a</w:t>
            </w:r>
            <w:r>
              <w:rPr>
                <w:rFonts w:cs="Calibri"/>
              </w:rPr>
              <w:t xml:space="preserve"> C&amp;DI states</w:t>
            </w:r>
            <w:r w:rsidRPr="0081220D">
              <w:rPr>
                <w:rFonts w:cs="Calibri"/>
              </w:rPr>
              <w:t xml:space="preserve"> that </w:t>
            </w:r>
            <w:r>
              <w:rPr>
                <w:rFonts w:cs="Calibri"/>
              </w:rPr>
              <w:t>an adjustment</w:t>
            </w:r>
            <w:r w:rsidRPr="0081220D">
              <w:rPr>
                <w:rFonts w:cs="Calibri"/>
              </w:rPr>
              <w:t xml:space="preserve"> </w:t>
            </w:r>
            <w:r>
              <w:rPr>
                <w:rFonts w:cs="Calibri"/>
              </w:rPr>
              <w:t>may be misleading if the adjustment:</w:t>
            </w:r>
          </w:p>
          <w:p w14:paraId="66DC26D8" w14:textId="77777777" w:rsidR="00320348" w:rsidRPr="00755F95" w:rsidRDefault="005B5528" w:rsidP="00320348">
            <w:pPr>
              <w:numPr>
                <w:ilvl w:val="0"/>
                <w:numId w:val="48"/>
              </w:numPr>
              <w:spacing w:after="120"/>
              <w:ind w:left="720" w:hanging="360"/>
              <w:rPr>
                <w:rFonts w:cs="Calibri"/>
                <w:color w:val="000000"/>
              </w:rPr>
            </w:pPr>
            <w:r w:rsidRPr="0081220D">
              <w:rPr>
                <w:rFonts w:cs="Calibri"/>
              </w:rPr>
              <w:t>change</w:t>
            </w:r>
            <w:r>
              <w:rPr>
                <w:rFonts w:cs="Calibri"/>
              </w:rPr>
              <w:t>s</w:t>
            </w:r>
            <w:r w:rsidRPr="0081220D">
              <w:rPr>
                <w:rFonts w:cs="Calibri"/>
              </w:rPr>
              <w:t xml:space="preserve"> GAA</w:t>
            </w:r>
            <w:r w:rsidRPr="00755F95">
              <w:rPr>
                <w:rFonts w:cs="Calibri"/>
                <w:color w:val="000000"/>
              </w:rPr>
              <w:t>P recognition and measurement principles;</w:t>
            </w:r>
          </w:p>
          <w:p w14:paraId="26CB14EC" w14:textId="77777777" w:rsidR="00320348" w:rsidRPr="00755F95" w:rsidRDefault="005B5528" w:rsidP="00320348">
            <w:pPr>
              <w:numPr>
                <w:ilvl w:val="0"/>
                <w:numId w:val="48"/>
              </w:numPr>
              <w:spacing w:after="120"/>
              <w:ind w:left="720" w:hanging="360"/>
              <w:rPr>
                <w:rFonts w:cs="Calibri"/>
                <w:color w:val="000000"/>
              </w:rPr>
            </w:pPr>
            <w:r w:rsidRPr="00755F95">
              <w:rPr>
                <w:rFonts w:cs="Calibri"/>
                <w:color w:val="000000"/>
              </w:rPr>
              <w:t>change</w:t>
            </w:r>
            <w:r>
              <w:rPr>
                <w:rFonts w:cs="Calibri"/>
                <w:color w:val="000000"/>
              </w:rPr>
              <w:t>s</w:t>
            </w:r>
            <w:r w:rsidRPr="00755F95">
              <w:rPr>
                <w:rFonts w:cs="Calibri"/>
                <w:color w:val="000000"/>
              </w:rPr>
              <w:t xml:space="preserve"> the treatment of transaction costs;</w:t>
            </w:r>
            <w:r>
              <w:rPr>
                <w:rFonts w:cs="Calibri"/>
                <w:color w:val="000000"/>
              </w:rPr>
              <w:t xml:space="preserve"> or</w:t>
            </w:r>
          </w:p>
          <w:p w14:paraId="57EE5D27" w14:textId="77777777" w:rsidR="00320348" w:rsidRDefault="005B5528" w:rsidP="00320348">
            <w:pPr>
              <w:numPr>
                <w:ilvl w:val="0"/>
                <w:numId w:val="48"/>
              </w:numPr>
              <w:spacing w:after="120"/>
              <w:ind w:left="720" w:hanging="360"/>
              <w:rPr>
                <w:rFonts w:cs="Calibri"/>
              </w:rPr>
            </w:pPr>
            <w:r w:rsidRPr="00755F95">
              <w:rPr>
                <w:rFonts w:cs="Calibri"/>
                <w:color w:val="000000"/>
              </w:rPr>
              <w:t>change</w:t>
            </w:r>
            <w:r>
              <w:rPr>
                <w:rFonts w:cs="Calibri"/>
                <w:color w:val="000000"/>
              </w:rPr>
              <w:t>s</w:t>
            </w:r>
            <w:r w:rsidRPr="00755F95">
              <w:rPr>
                <w:rFonts w:cs="Calibri"/>
                <w:color w:val="000000"/>
              </w:rPr>
              <w:t xml:space="preserve"> accru</w:t>
            </w:r>
            <w:r w:rsidRPr="0081220D">
              <w:rPr>
                <w:rFonts w:cs="Calibri"/>
              </w:rPr>
              <w:t>al basis accounting to a cash basis</w:t>
            </w:r>
            <w:r>
              <w:rPr>
                <w:rFonts w:cs="Calibri"/>
              </w:rPr>
              <w:t>.</w:t>
            </w:r>
          </w:p>
          <w:p w14:paraId="6E787C94" w14:textId="77777777" w:rsidR="00320348" w:rsidRPr="0081220D" w:rsidRDefault="005B5528" w:rsidP="00320348">
            <w:pPr>
              <w:spacing w:after="120"/>
              <w:rPr>
                <w:rFonts w:cs="Calibri"/>
              </w:rPr>
            </w:pPr>
            <w:r w:rsidRPr="0081220D">
              <w:rPr>
                <w:rFonts w:cs="Calibri"/>
              </w:rPr>
              <w:t xml:space="preserve">The C&amp;DI indicates that examples of changes that the staff </w:t>
            </w:r>
            <w:r w:rsidRPr="0081220D">
              <w:rPr>
                <w:rFonts w:cs="Calibri"/>
                <w:bCs/>
                <w:iCs/>
              </w:rPr>
              <w:t>may</w:t>
            </w:r>
            <w:r w:rsidRPr="0081220D">
              <w:rPr>
                <w:rFonts w:cs="Calibri"/>
              </w:rPr>
              <w:t xml:space="preserve"> consider to be misleading include, but are not limited to, the following:</w:t>
            </w:r>
          </w:p>
          <w:p w14:paraId="1F502AAF" w14:textId="77777777" w:rsidR="00320348" w:rsidRPr="0081220D" w:rsidRDefault="005B5528" w:rsidP="00320348">
            <w:pPr>
              <w:numPr>
                <w:ilvl w:val="0"/>
                <w:numId w:val="48"/>
              </w:numPr>
              <w:spacing w:after="120"/>
              <w:ind w:left="720" w:hanging="360"/>
              <w:rPr>
                <w:rFonts w:cs="Calibri"/>
                <w:color w:val="000000"/>
              </w:rPr>
            </w:pPr>
            <w:r w:rsidRPr="0081220D">
              <w:rPr>
                <w:rFonts w:cs="Calibri"/>
                <w:color w:val="000000"/>
              </w:rPr>
              <w:t xml:space="preserve">changing the </w:t>
            </w:r>
            <w:r w:rsidRPr="0081220D">
              <w:rPr>
                <w:rFonts w:cs="Calibri"/>
              </w:rPr>
              <w:t>pattern</w:t>
            </w:r>
            <w:r w:rsidRPr="0081220D">
              <w:rPr>
                <w:rFonts w:cs="Calibri"/>
                <w:color w:val="000000"/>
              </w:rPr>
              <w:t xml:space="preserve"> of recognition, such as including an adjustment in a no</w:t>
            </w:r>
            <w:r w:rsidRPr="0081220D">
              <w:rPr>
                <w:rFonts w:cs="Calibri"/>
                <w:color w:val="000000"/>
              </w:rPr>
              <w:t>n-GAAP performance measure to accelerate revenue recognized ratably over time in accordance with GAAP as though revenue was earned when customers were billed;</w:t>
            </w:r>
          </w:p>
          <w:p w14:paraId="61824B39" w14:textId="77777777" w:rsidR="00320348" w:rsidRPr="0081220D" w:rsidRDefault="005B5528" w:rsidP="00320348">
            <w:pPr>
              <w:numPr>
                <w:ilvl w:val="0"/>
                <w:numId w:val="48"/>
              </w:numPr>
              <w:spacing w:after="120"/>
              <w:ind w:left="720" w:hanging="360"/>
              <w:rPr>
                <w:rFonts w:cs="Calibri"/>
                <w:color w:val="000000"/>
              </w:rPr>
            </w:pPr>
            <w:r w:rsidRPr="0081220D">
              <w:rPr>
                <w:rFonts w:cs="Calibri"/>
                <w:color w:val="000000"/>
              </w:rPr>
              <w:t>presenting a non-GAAP measure of revenue that deducts transaction costs as if the company acted a</w:t>
            </w:r>
            <w:r w:rsidRPr="0081220D">
              <w:rPr>
                <w:rFonts w:cs="Calibri"/>
                <w:color w:val="000000"/>
              </w:rPr>
              <w:t>s an agent in the transaction, when gross presentation as a principal is required by GAAP, or the inverse, presenting a measure of revenue on a gross basis when net presentation is required by GAAP; and</w:t>
            </w:r>
          </w:p>
          <w:p w14:paraId="5E8CA6C4" w14:textId="77777777" w:rsidR="00320348" w:rsidRPr="0081220D" w:rsidRDefault="005B5528" w:rsidP="00320348">
            <w:pPr>
              <w:numPr>
                <w:ilvl w:val="0"/>
                <w:numId w:val="48"/>
              </w:numPr>
              <w:spacing w:after="120"/>
              <w:ind w:left="720" w:hanging="360"/>
              <w:rPr>
                <w:rFonts w:cs="Calibri"/>
                <w:color w:val="000000"/>
              </w:rPr>
            </w:pPr>
            <w:r w:rsidRPr="0081220D">
              <w:rPr>
                <w:rFonts w:cs="Calibri"/>
                <w:color w:val="000000"/>
              </w:rPr>
              <w:t xml:space="preserve">changing the basis of </w:t>
            </w:r>
            <w:r w:rsidRPr="0081220D">
              <w:rPr>
                <w:rFonts w:cs="Calibri"/>
              </w:rPr>
              <w:t>accounting</w:t>
            </w:r>
            <w:r w:rsidRPr="0081220D">
              <w:rPr>
                <w:rFonts w:cs="Calibri"/>
                <w:color w:val="000000"/>
              </w:rPr>
              <w:t xml:space="preserve"> for revenue or expen</w:t>
            </w:r>
            <w:r w:rsidRPr="0081220D">
              <w:rPr>
                <w:rFonts w:cs="Calibri"/>
                <w:color w:val="000000"/>
              </w:rPr>
              <w:t>ses in a non-GAAP performance measure from an accrual basis in accordance with GAAP to a cash basis.</w:t>
            </w:r>
          </w:p>
          <w:p w14:paraId="54E69DF8" w14:textId="77777777" w:rsidR="00320348" w:rsidRPr="004C45EE" w:rsidRDefault="005B5528" w:rsidP="00320348">
            <w:pPr>
              <w:keepNext/>
              <w:keepLines/>
              <w:autoSpaceDE w:val="0"/>
              <w:autoSpaceDN w:val="0"/>
              <w:adjustRightInd w:val="0"/>
              <w:spacing w:after="120"/>
              <w:rPr>
                <w:b/>
                <w:bCs/>
              </w:rPr>
            </w:pPr>
            <w:r w:rsidRPr="0081220D">
              <w:rPr>
                <w:rFonts w:cs="Calibri"/>
                <w:color w:val="000000"/>
              </w:rPr>
              <w:t xml:space="preserve">Confirm that the Form 10-K report does not include adjustments of the type described </w:t>
            </w:r>
            <w:r>
              <w:rPr>
                <w:rFonts w:cs="Calibri"/>
                <w:color w:val="000000"/>
              </w:rPr>
              <w:t>above</w:t>
            </w:r>
            <w:r w:rsidRPr="0081220D">
              <w:rPr>
                <w:rFonts w:cs="Calibri"/>
                <w:color w:val="000000"/>
              </w:rPr>
              <w:t>, with particular attention to adjustments described in the three</w:t>
            </w:r>
            <w:r w:rsidRPr="0081220D">
              <w:rPr>
                <w:rFonts w:cs="Calibri"/>
                <w:color w:val="000000"/>
              </w:rPr>
              <w:t xml:space="preserve"> bullet</w:t>
            </w:r>
            <w:r w:rsidR="004872AE">
              <w:rPr>
                <w:rFonts w:cs="Calibri"/>
                <w:color w:val="000000"/>
              </w:rPr>
              <w:t>s</w:t>
            </w:r>
            <w:r w:rsidRPr="0081220D">
              <w:rPr>
                <w:rFonts w:cs="Calibri"/>
                <w:color w:val="000000"/>
              </w:rPr>
              <w:t xml:space="preserve"> </w:t>
            </w:r>
            <w:r w:rsidR="008D47EC">
              <w:rPr>
                <w:rFonts w:cs="Calibri"/>
                <w:color w:val="000000"/>
              </w:rPr>
              <w:t xml:space="preserve">immediately </w:t>
            </w:r>
            <w:r w:rsidRPr="0081220D">
              <w:rPr>
                <w:rFonts w:cs="Calibri"/>
                <w:color w:val="000000"/>
              </w:rPr>
              <w:t>above.</w:t>
            </w:r>
          </w:p>
        </w:tc>
        <w:tc>
          <w:tcPr>
            <w:tcW w:w="925" w:type="pct"/>
            <w:tcBorders>
              <w:top w:val="single" w:sz="4" w:space="0" w:color="auto"/>
              <w:left w:val="single" w:sz="4" w:space="0" w:color="auto"/>
              <w:bottom w:val="single" w:sz="4" w:space="0" w:color="auto"/>
              <w:right w:val="single" w:sz="4" w:space="0" w:color="auto"/>
            </w:tcBorders>
          </w:tcPr>
          <w:p w14:paraId="2E471B18" w14:textId="77777777" w:rsidR="00320348" w:rsidRPr="00DB5740" w:rsidRDefault="00320348" w:rsidP="00320348">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78E7460D" w14:textId="77777777" w:rsidR="00320348" w:rsidRPr="00DB5740" w:rsidRDefault="00320348" w:rsidP="00320348">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5B7754DC" w14:textId="77777777" w:rsidR="00320348" w:rsidRPr="00DB5740" w:rsidRDefault="005B5528" w:rsidP="00320348">
            <w:pPr>
              <w:jc w:val="center"/>
            </w:pPr>
            <w:r w:rsidRPr="00DB5740">
              <w:t xml:space="preserve">Yes </w:t>
            </w:r>
            <w:r w:rsidRPr="00DB5740">
              <w:rPr>
                <w:rFonts w:ascii="Segoe UI Symbol" w:eastAsia="MS Gothic" w:hAnsi="Segoe UI Symbol" w:cs="Segoe UI Symbol"/>
              </w:rPr>
              <w:t>☐</w:t>
            </w:r>
          </w:p>
          <w:p w14:paraId="0BFF6ABF" w14:textId="77777777" w:rsidR="00320348" w:rsidRPr="00DB5740" w:rsidRDefault="005B5528" w:rsidP="00320348">
            <w:pPr>
              <w:jc w:val="center"/>
            </w:pPr>
            <w:r w:rsidRPr="00DB5740">
              <w:t xml:space="preserve">No  </w:t>
            </w:r>
            <w:r w:rsidRPr="00DB5740">
              <w:rPr>
                <w:rFonts w:ascii="Segoe UI Symbol" w:eastAsia="MS Gothic" w:hAnsi="Segoe UI Symbol" w:cs="Segoe UI Symbol"/>
              </w:rPr>
              <w:t>☐</w:t>
            </w:r>
          </w:p>
        </w:tc>
      </w:tr>
      <w:tr w:rsidR="00000000" w14:paraId="00B4A367" w14:textId="77777777" w:rsidTr="00B051D1">
        <w:trPr>
          <w:cantSplit/>
          <w:jc w:val="center"/>
        </w:trPr>
        <w:tc>
          <w:tcPr>
            <w:tcW w:w="685" w:type="pct"/>
            <w:tcBorders>
              <w:top w:val="single" w:sz="4" w:space="0" w:color="auto"/>
              <w:left w:val="single" w:sz="4" w:space="0" w:color="auto"/>
              <w:bottom w:val="single" w:sz="4" w:space="0" w:color="auto"/>
              <w:right w:val="single" w:sz="4" w:space="0" w:color="auto"/>
            </w:tcBorders>
          </w:tcPr>
          <w:p w14:paraId="2C20AB5E" w14:textId="77777777" w:rsidR="00F236B4" w:rsidRPr="00DB5740" w:rsidRDefault="00F236B4" w:rsidP="00320348">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7C5AF92E" w14:textId="77777777" w:rsidR="00F236B4" w:rsidRPr="00DB5740" w:rsidRDefault="00F236B4" w:rsidP="00320348">
            <w:pPr>
              <w:autoSpaceDE w:val="0"/>
              <w:autoSpaceDN w:val="0"/>
              <w:adjustRightInd w:val="0"/>
              <w:jc w:val="center"/>
            </w:pPr>
          </w:p>
        </w:tc>
        <w:tc>
          <w:tcPr>
            <w:tcW w:w="1907" w:type="pct"/>
          </w:tcPr>
          <w:p w14:paraId="49165737" w14:textId="77777777" w:rsidR="00F236B4" w:rsidRPr="0081220D" w:rsidRDefault="005B5528" w:rsidP="00320348">
            <w:pPr>
              <w:spacing w:after="120"/>
              <w:rPr>
                <w:rFonts w:cs="Calibri"/>
                <w:b/>
                <w:bCs/>
              </w:rPr>
            </w:pPr>
            <w:r w:rsidRPr="00B145C1">
              <w:t xml:space="preserve">Note that one of the </w:t>
            </w:r>
            <w:r>
              <w:t xml:space="preserve">December 2022 </w:t>
            </w:r>
            <w:r w:rsidRPr="00B145C1">
              <w:t xml:space="preserve">C&amp;DIs states that in some instances even “extensive, detailed disclosure about the nature and effect” of non-GAAP adjustments may not prevent a non-GAAP financial measure from </w:t>
            </w:r>
            <w:r w:rsidRPr="00B145C1">
              <w:t>being materially misleading.  The staff views some non-GAAP financial measures as misleading investors to such a degree that no amount of disclosure regarding the adjustments made can prevent them from being materially misleading.  This should be remembere</w:t>
            </w:r>
            <w:r w:rsidRPr="00B145C1">
              <w:t>d when drafting or reviewing disclosure that includes non-GAAP financial measures.</w:t>
            </w:r>
          </w:p>
        </w:tc>
        <w:tc>
          <w:tcPr>
            <w:tcW w:w="925" w:type="pct"/>
            <w:tcBorders>
              <w:top w:val="single" w:sz="4" w:space="0" w:color="auto"/>
              <w:left w:val="single" w:sz="4" w:space="0" w:color="auto"/>
              <w:bottom w:val="single" w:sz="4" w:space="0" w:color="auto"/>
              <w:right w:val="single" w:sz="4" w:space="0" w:color="auto"/>
            </w:tcBorders>
          </w:tcPr>
          <w:p w14:paraId="791CBC68" w14:textId="77777777" w:rsidR="00F236B4" w:rsidRPr="00DB5740" w:rsidRDefault="00F236B4" w:rsidP="00320348">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5E74E368" w14:textId="77777777" w:rsidR="00F236B4" w:rsidRPr="00DB5740" w:rsidRDefault="00F236B4" w:rsidP="00320348">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4544EFE9" w14:textId="77777777" w:rsidR="00F236B4" w:rsidRPr="00DB5740" w:rsidRDefault="00F236B4" w:rsidP="00320348">
            <w:pPr>
              <w:jc w:val="center"/>
            </w:pPr>
          </w:p>
        </w:tc>
      </w:tr>
      <w:tr w:rsidR="00000000" w14:paraId="01683A14" w14:textId="77777777" w:rsidTr="00B051D1">
        <w:trPr>
          <w:cantSplit/>
          <w:jc w:val="center"/>
        </w:trPr>
        <w:tc>
          <w:tcPr>
            <w:tcW w:w="685" w:type="pct"/>
            <w:tcBorders>
              <w:top w:val="single" w:sz="4" w:space="0" w:color="auto"/>
              <w:left w:val="single" w:sz="4" w:space="0" w:color="auto"/>
              <w:bottom w:val="single" w:sz="4" w:space="0" w:color="auto"/>
              <w:right w:val="single" w:sz="4" w:space="0" w:color="auto"/>
            </w:tcBorders>
          </w:tcPr>
          <w:p w14:paraId="2CED4D28"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26B5CDDA" w14:textId="77777777" w:rsidR="004C67B7" w:rsidRPr="00DB5740" w:rsidRDefault="004C67B7" w:rsidP="004C67B7">
            <w:pPr>
              <w:autoSpaceDE w:val="0"/>
              <w:autoSpaceDN w:val="0"/>
              <w:adjustRightInd w:val="0"/>
              <w:jc w:val="center"/>
            </w:pPr>
          </w:p>
        </w:tc>
        <w:tc>
          <w:tcPr>
            <w:tcW w:w="1907" w:type="pct"/>
          </w:tcPr>
          <w:p w14:paraId="27A6ECC4" w14:textId="77777777" w:rsidR="004C67B7" w:rsidRDefault="005B5528" w:rsidP="004C67B7">
            <w:pPr>
              <w:keepNext/>
              <w:keepLines/>
              <w:autoSpaceDE w:val="0"/>
              <w:autoSpaceDN w:val="0"/>
              <w:adjustRightInd w:val="0"/>
              <w:spacing w:after="120"/>
            </w:pPr>
            <w:r>
              <w:rPr>
                <w:b/>
                <w:bCs/>
              </w:rPr>
              <w:t xml:space="preserve">Non-GAAP Financial Measures – General Review </w:t>
            </w:r>
          </w:p>
          <w:p w14:paraId="49D5DEC0" w14:textId="77777777" w:rsidR="004C67B7" w:rsidRPr="00320348" w:rsidRDefault="00767B8E" w:rsidP="004C67B7">
            <w:pPr>
              <w:keepNext/>
              <w:keepLines/>
              <w:autoSpaceDE w:val="0"/>
              <w:autoSpaceDN w:val="0"/>
              <w:adjustRightInd w:val="0"/>
              <w:spacing w:after="120"/>
            </w:pPr>
            <w:r>
              <w:t xml:space="preserve">In addition to the specific </w:t>
            </w:r>
            <w:r w:rsidR="007B751D">
              <w:t>review points</w:t>
            </w:r>
            <w:r>
              <w:t xml:space="preserve"> above, c</w:t>
            </w:r>
            <w:r w:rsidR="005B5528" w:rsidRPr="00320348">
              <w:t>onfirm that any non-GAAP financial measures included in the Form 10</w:t>
            </w:r>
            <w:r w:rsidR="005B5528" w:rsidRPr="00320348">
              <w:noBreakHyphen/>
              <w:t>K c</w:t>
            </w:r>
            <w:r w:rsidR="005B5528" w:rsidRPr="00320348">
              <w:t>omply with the disclosure requirements of Regulation G and Item 10(e) of Regulation S</w:t>
            </w:r>
            <w:r w:rsidR="005B5528" w:rsidRPr="00320348">
              <w:noBreakHyphen/>
              <w:t>K,</w:t>
            </w:r>
            <w:r w:rsidR="00F236B4">
              <w:t xml:space="preserve"> </w:t>
            </w:r>
            <w:r w:rsidR="005B5528" w:rsidRPr="00320348">
              <w:t>including:</w:t>
            </w:r>
          </w:p>
          <w:p w14:paraId="2CCF4F25" w14:textId="77777777" w:rsidR="004C67B7" w:rsidRPr="00320348" w:rsidRDefault="005B5528" w:rsidP="004C67B7">
            <w:pPr>
              <w:numPr>
                <w:ilvl w:val="0"/>
                <w:numId w:val="48"/>
              </w:numPr>
              <w:spacing w:after="120"/>
              <w:ind w:left="720" w:hanging="360"/>
              <w:rPr>
                <w:rFonts w:cs="Calibri"/>
              </w:rPr>
            </w:pPr>
            <w:r w:rsidRPr="00320348">
              <w:rPr>
                <w:rFonts w:cs="Calibri"/>
                <w:color w:val="000000"/>
              </w:rPr>
              <w:t>presentation</w:t>
            </w:r>
            <w:r w:rsidRPr="00320348">
              <w:rPr>
                <w:szCs w:val="23"/>
              </w:rPr>
              <w:t xml:space="preserve"> of the “m</w:t>
            </w:r>
            <w:r w:rsidRPr="00320348">
              <w:rPr>
                <w:rFonts w:cs="Calibri"/>
              </w:rPr>
              <w:t>ost directly comparable” GAAP measure with “equal or greater prominence”;</w:t>
            </w:r>
          </w:p>
          <w:p w14:paraId="281C0314" w14:textId="77777777" w:rsidR="004C67B7" w:rsidRPr="00320348" w:rsidRDefault="005B5528" w:rsidP="004C67B7">
            <w:pPr>
              <w:numPr>
                <w:ilvl w:val="0"/>
                <w:numId w:val="48"/>
              </w:numPr>
              <w:spacing w:after="120"/>
              <w:ind w:left="720" w:hanging="360"/>
              <w:rPr>
                <w:rFonts w:cs="Calibri"/>
                <w:color w:val="000000"/>
              </w:rPr>
            </w:pPr>
            <w:r w:rsidRPr="00320348">
              <w:rPr>
                <w:rFonts w:cs="Calibri"/>
              </w:rPr>
              <w:t>a reconciliation</w:t>
            </w:r>
            <w:r w:rsidR="00767B8E">
              <w:rPr>
                <w:rFonts w:cs="Calibri"/>
              </w:rPr>
              <w:t xml:space="preserve"> of the non-GAAP financial measure to the most directly comparable GAAP financial measure</w:t>
            </w:r>
            <w:r w:rsidRPr="00320348">
              <w:rPr>
                <w:rFonts w:cs="Calibri"/>
                <w:color w:val="000000"/>
              </w:rPr>
              <w:t>, which must be quantitative (quantitative reconciliation of forward-looking measures is required “to the extent available without unreasonable efforts”</w:t>
            </w:r>
            <w:r w:rsidR="00767B8E">
              <w:rPr>
                <w:rFonts w:cs="Calibri"/>
                <w:color w:val="000000"/>
              </w:rPr>
              <w:t xml:space="preserve"> but should be reviewed in light of the December 2022 C&amp;DI on compliance with the “equal or greater prominence” requirement of Item 10(e) of Regulation S-K</w:t>
            </w:r>
            <w:r w:rsidRPr="00320348">
              <w:rPr>
                <w:rFonts w:cs="Calibri"/>
                <w:color w:val="000000"/>
              </w:rPr>
              <w:t>);</w:t>
            </w:r>
          </w:p>
          <w:p w14:paraId="55AED86D" w14:textId="77777777" w:rsidR="004C67B7" w:rsidRPr="00320348" w:rsidRDefault="005B5528" w:rsidP="004C67B7">
            <w:pPr>
              <w:numPr>
                <w:ilvl w:val="0"/>
                <w:numId w:val="48"/>
              </w:numPr>
              <w:spacing w:after="120"/>
              <w:ind w:left="720" w:hanging="360"/>
              <w:rPr>
                <w:szCs w:val="23"/>
              </w:rPr>
            </w:pPr>
            <w:r w:rsidRPr="00320348">
              <w:rPr>
                <w:rFonts w:cs="Calibri"/>
                <w:color w:val="000000"/>
              </w:rPr>
              <w:t>a statement disclosing the reasons why management believes that t</w:t>
            </w:r>
            <w:r w:rsidRPr="00320348">
              <w:rPr>
                <w:rFonts w:cs="Calibri"/>
              </w:rPr>
              <w:t>he non-GAAP financial measure provides useful information about the company’s financial cond</w:t>
            </w:r>
            <w:r w:rsidRPr="00320348">
              <w:rPr>
                <w:rFonts w:cs="Calibri"/>
              </w:rPr>
              <w:t>ition and results of operations; a</w:t>
            </w:r>
            <w:r w:rsidRPr="00320348">
              <w:rPr>
                <w:szCs w:val="23"/>
              </w:rPr>
              <w:t>nd</w:t>
            </w:r>
          </w:p>
          <w:p w14:paraId="2FB1B659" w14:textId="77777777" w:rsidR="004C67B7" w:rsidRPr="0081220D" w:rsidRDefault="005B5528" w:rsidP="004C67B7">
            <w:pPr>
              <w:numPr>
                <w:ilvl w:val="0"/>
                <w:numId w:val="48"/>
              </w:numPr>
              <w:spacing w:after="120"/>
              <w:ind w:left="720" w:hanging="360"/>
              <w:rPr>
                <w:rFonts w:cs="Calibri"/>
                <w:b/>
                <w:bCs/>
              </w:rPr>
            </w:pPr>
            <w:r w:rsidRPr="00320348">
              <w:t xml:space="preserve">to the extent material and not discussed in response to the preceding </w:t>
            </w:r>
            <w:r w:rsidRPr="00320348">
              <w:rPr>
                <w:rFonts w:cs="Calibri"/>
                <w:color w:val="000000"/>
              </w:rPr>
              <w:t>bullet</w:t>
            </w:r>
            <w:r w:rsidRPr="00320348">
              <w:t>, a statement disclosing any additional purposes for which management uses the non-GAAP financial measures.</w:t>
            </w:r>
          </w:p>
        </w:tc>
        <w:tc>
          <w:tcPr>
            <w:tcW w:w="925" w:type="pct"/>
            <w:tcBorders>
              <w:top w:val="single" w:sz="4" w:space="0" w:color="auto"/>
              <w:left w:val="single" w:sz="4" w:space="0" w:color="auto"/>
              <w:bottom w:val="single" w:sz="4" w:space="0" w:color="auto"/>
              <w:right w:val="single" w:sz="4" w:space="0" w:color="auto"/>
            </w:tcBorders>
          </w:tcPr>
          <w:p w14:paraId="4FAD4B9F" w14:textId="77777777" w:rsidR="004C67B7" w:rsidRPr="00DB5740" w:rsidRDefault="004C67B7" w:rsidP="004C67B7">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463B040E"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61175923"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57C37B90"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1F21104B"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1688C0EC"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175DE54B" w14:textId="77777777" w:rsidR="004C67B7" w:rsidRPr="00DB5740" w:rsidRDefault="004C67B7" w:rsidP="004C67B7">
            <w:pPr>
              <w:autoSpaceDE w:val="0"/>
              <w:autoSpaceDN w:val="0"/>
              <w:adjustRightInd w:val="0"/>
              <w:jc w:val="center"/>
            </w:pPr>
          </w:p>
        </w:tc>
        <w:tc>
          <w:tcPr>
            <w:tcW w:w="1907" w:type="pct"/>
            <w:tcBorders>
              <w:top w:val="single" w:sz="4" w:space="0" w:color="auto"/>
              <w:left w:val="single" w:sz="4" w:space="0" w:color="auto"/>
              <w:bottom w:val="single" w:sz="4" w:space="0" w:color="auto"/>
              <w:right w:val="single" w:sz="4" w:space="0" w:color="auto"/>
            </w:tcBorders>
          </w:tcPr>
          <w:p w14:paraId="08323F23" w14:textId="77777777" w:rsidR="004C67B7" w:rsidRPr="004C45EE" w:rsidRDefault="005B5528" w:rsidP="004C67B7">
            <w:pPr>
              <w:keepNext/>
              <w:keepLines/>
              <w:autoSpaceDE w:val="0"/>
              <w:autoSpaceDN w:val="0"/>
              <w:adjustRightInd w:val="0"/>
              <w:spacing w:after="120"/>
            </w:pPr>
            <w:r w:rsidRPr="004C45EE">
              <w:rPr>
                <w:b/>
                <w:bCs/>
              </w:rPr>
              <w:t>Non-GAAP Financial</w:t>
            </w:r>
            <w:r w:rsidRPr="004C45EE">
              <w:rPr>
                <w:b/>
                <w:bCs/>
              </w:rPr>
              <w:t xml:space="preserve"> Measures and the Covid-19 Pandemic</w:t>
            </w:r>
          </w:p>
          <w:p w14:paraId="0AACC51F" w14:textId="77777777" w:rsidR="004C67B7" w:rsidRPr="004C45EE" w:rsidRDefault="005B5528" w:rsidP="004C67B7">
            <w:pPr>
              <w:keepNext/>
              <w:keepLines/>
              <w:autoSpaceDE w:val="0"/>
              <w:autoSpaceDN w:val="0"/>
              <w:adjustRightInd w:val="0"/>
              <w:spacing w:after="120"/>
            </w:pPr>
            <w:r w:rsidRPr="004C45EE">
              <w:t xml:space="preserve">Any non-GAAP financial measures related to the ongoing pandemic should be reviewed carefully for compliance with SEC rules and interpretations.  </w:t>
            </w:r>
          </w:p>
          <w:p w14:paraId="2112F637" w14:textId="77777777" w:rsidR="004C67B7" w:rsidRPr="004C45EE" w:rsidRDefault="005B5528" w:rsidP="004C67B7">
            <w:pPr>
              <w:keepNext/>
              <w:keepLines/>
              <w:autoSpaceDE w:val="0"/>
              <w:autoSpaceDN w:val="0"/>
              <w:adjustRightInd w:val="0"/>
              <w:spacing w:after="120"/>
            </w:pPr>
            <w:r w:rsidRPr="004C45EE">
              <w:t>For example, non-GAAP adjustments should not “eliminate or smooth items id</w:t>
            </w:r>
            <w:r w:rsidRPr="004C45EE">
              <w:t>entified as non-recurring, infrequent or unusual, when the nature of the charge or gain is such that it is reasonably likely to recur within two years or there was a similar charge or gain within the prior two years.”  As the second anniversary of the pand</w:t>
            </w:r>
            <w:r w:rsidRPr="004C45EE">
              <w:t>emic has now passed, some adjustments may not, or may no longer, satisfy this condition.</w:t>
            </w:r>
          </w:p>
          <w:p w14:paraId="6F7C63CC" w14:textId="77777777" w:rsidR="004C67B7" w:rsidRPr="004C45EE" w:rsidRDefault="005B5528" w:rsidP="004C67B7">
            <w:pPr>
              <w:keepNext/>
              <w:keepLines/>
              <w:autoSpaceDE w:val="0"/>
              <w:autoSpaceDN w:val="0"/>
              <w:adjustRightInd w:val="0"/>
              <w:spacing w:after="120"/>
            </w:pPr>
            <w:r w:rsidRPr="004C45EE">
              <w:t>Adjustments should also be clearly attributable to the pandemic.  Common adjustments include compensation and benefits adjustments, cleaning/disinfection costs, and pe</w:t>
            </w:r>
            <w:r w:rsidRPr="004C45EE">
              <w:t xml:space="preserve">rsonal protective equipment costs.  </w:t>
            </w:r>
          </w:p>
          <w:p w14:paraId="120D7A11" w14:textId="77777777" w:rsidR="004C67B7" w:rsidRPr="004C45EE" w:rsidRDefault="005B5528" w:rsidP="004C67B7">
            <w:pPr>
              <w:keepNext/>
              <w:keepLines/>
              <w:autoSpaceDE w:val="0"/>
              <w:autoSpaceDN w:val="0"/>
              <w:adjustRightInd w:val="0"/>
              <w:spacing w:after="120"/>
            </w:pPr>
            <w:r w:rsidRPr="004C45EE">
              <w:t>If the company’s non-GAAP financial measures include adjustments for Covid-19/pandemic impacts, confirm that all applicable SEC requirements have been satisfied.</w:t>
            </w:r>
          </w:p>
        </w:tc>
        <w:tc>
          <w:tcPr>
            <w:tcW w:w="925" w:type="pct"/>
            <w:tcBorders>
              <w:top w:val="single" w:sz="4" w:space="0" w:color="auto"/>
              <w:left w:val="single" w:sz="4" w:space="0" w:color="auto"/>
              <w:bottom w:val="single" w:sz="4" w:space="0" w:color="auto"/>
              <w:right w:val="single" w:sz="4" w:space="0" w:color="auto"/>
            </w:tcBorders>
          </w:tcPr>
          <w:p w14:paraId="2A109E17" w14:textId="77777777" w:rsidR="004C67B7" w:rsidRPr="00DB5740" w:rsidRDefault="004C67B7" w:rsidP="004C67B7">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tcPr>
          <w:p w14:paraId="5A8DAFDF"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08A0DDD9"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1E6B8D86"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2ED647B0"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527AD314"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tcPr>
          <w:p w14:paraId="4D008B32" w14:textId="77777777" w:rsidR="004C67B7" w:rsidRPr="00DB5740" w:rsidRDefault="004C67B7" w:rsidP="004C67B7">
            <w:pPr>
              <w:autoSpaceDE w:val="0"/>
              <w:autoSpaceDN w:val="0"/>
              <w:adjustRightInd w:val="0"/>
              <w:jc w:val="center"/>
            </w:pPr>
          </w:p>
        </w:tc>
        <w:tc>
          <w:tcPr>
            <w:tcW w:w="1907" w:type="pct"/>
            <w:tcBorders>
              <w:top w:val="single" w:sz="4" w:space="0" w:color="auto"/>
              <w:left w:val="single" w:sz="4" w:space="0" w:color="auto"/>
              <w:bottom w:val="single" w:sz="4" w:space="0" w:color="auto"/>
              <w:right w:val="single" w:sz="4" w:space="0" w:color="auto"/>
            </w:tcBorders>
          </w:tcPr>
          <w:p w14:paraId="28E8CA58" w14:textId="77777777" w:rsidR="004C67B7" w:rsidRPr="00DB5740" w:rsidRDefault="005B5528" w:rsidP="004C67B7">
            <w:pPr>
              <w:spacing w:after="120"/>
            </w:pPr>
            <w:r w:rsidRPr="00DB5740">
              <w:rPr>
                <w:b/>
                <w:bCs/>
              </w:rPr>
              <w:t>Key Performance Indicators (KPIs)</w:t>
            </w:r>
          </w:p>
          <w:p w14:paraId="05A748E5" w14:textId="77777777" w:rsidR="004C67B7" w:rsidRPr="00DB5740" w:rsidRDefault="005B5528" w:rsidP="004C67B7">
            <w:pPr>
              <w:spacing w:after="120"/>
            </w:pPr>
            <w:r w:rsidRPr="00DB5740">
              <w:t>Confir</w:t>
            </w:r>
            <w:r w:rsidRPr="00DB5740">
              <w:t>m that the disclosu</w:t>
            </w:r>
            <w:r>
              <w:t>r</w:t>
            </w:r>
            <w:r w:rsidRPr="00DB5740">
              <w:t>e provides a clear definition of any KPI, how the measure is calculated, and a statement indicating the reasons why the metric provides useful information to investors and how management uses the metric in managing or monitoring the per</w:t>
            </w:r>
            <w:r w:rsidRPr="00DB5740">
              <w:t>formance of the business.</w:t>
            </w:r>
          </w:p>
          <w:p w14:paraId="7DA43222" w14:textId="77777777" w:rsidR="004C67B7" w:rsidRPr="00DB5740" w:rsidRDefault="004C67B7" w:rsidP="004C67B7">
            <w:pPr>
              <w:keepNext/>
              <w:keepLines/>
              <w:autoSpaceDE w:val="0"/>
              <w:autoSpaceDN w:val="0"/>
              <w:adjustRightInd w:val="0"/>
              <w:spacing w:after="120"/>
              <w:rPr>
                <w:b/>
                <w:bCs/>
              </w:rPr>
            </w:pPr>
          </w:p>
        </w:tc>
        <w:tc>
          <w:tcPr>
            <w:tcW w:w="925" w:type="pct"/>
            <w:tcBorders>
              <w:top w:val="single" w:sz="4" w:space="0" w:color="auto"/>
              <w:left w:val="single" w:sz="4" w:space="0" w:color="auto"/>
              <w:bottom w:val="single" w:sz="4" w:space="0" w:color="auto"/>
              <w:right w:val="single" w:sz="4" w:space="0" w:color="auto"/>
            </w:tcBorders>
          </w:tcPr>
          <w:p w14:paraId="1F24445B" w14:textId="77777777" w:rsidR="004C67B7" w:rsidRPr="00DB5740" w:rsidRDefault="005B5528" w:rsidP="004C67B7">
            <w:pPr>
              <w:autoSpaceDE w:val="0"/>
              <w:autoSpaceDN w:val="0"/>
              <w:adjustRightInd w:val="0"/>
              <w:spacing w:after="120"/>
            </w:pPr>
            <w:hyperlink r:id="rId127" w:history="1">
              <w:r w:rsidRPr="00DB5740">
                <w:rPr>
                  <w:rStyle w:val="Hyperlink"/>
                </w:rPr>
                <w:t>Commission Guidance on Management</w:t>
              </w:r>
              <w:r>
                <w:rPr>
                  <w:rStyle w:val="Hyperlink"/>
                </w:rPr>
                <w:t>’</w:t>
              </w:r>
              <w:r w:rsidRPr="00DB5740">
                <w:rPr>
                  <w:rStyle w:val="Hyperlink"/>
                </w:rPr>
                <w:t>s Discussion and Analysis of Financial Condition</w:t>
              </w:r>
            </w:hyperlink>
            <w:r w:rsidRPr="00DB5740">
              <w:t xml:space="preserve"> (Release Nos. 33-10751; 34-88094)</w:t>
            </w:r>
          </w:p>
        </w:tc>
        <w:tc>
          <w:tcPr>
            <w:tcW w:w="585" w:type="pct"/>
            <w:tcBorders>
              <w:top w:val="single" w:sz="4" w:space="0" w:color="auto"/>
              <w:left w:val="single" w:sz="4" w:space="0" w:color="auto"/>
              <w:bottom w:val="single" w:sz="4" w:space="0" w:color="auto"/>
              <w:right w:val="single" w:sz="4" w:space="0" w:color="auto"/>
            </w:tcBorders>
          </w:tcPr>
          <w:p w14:paraId="4D5F103A"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52FE719D"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06596722"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65BC1156"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6D88F796" w14:textId="77777777" w:rsidR="004C67B7" w:rsidRPr="00DB5740" w:rsidRDefault="005B5528" w:rsidP="004C67B7">
            <w:pPr>
              <w:autoSpaceDE w:val="0"/>
              <w:autoSpaceDN w:val="0"/>
              <w:adjustRightInd w:val="0"/>
              <w:rPr>
                <w:bCs/>
              </w:rPr>
            </w:pPr>
            <w:r w:rsidRPr="00DB5740">
              <w:rPr>
                <w:bCs/>
              </w:rPr>
              <w:lastRenderedPageBreak/>
              <w:t>Item 7. Management</w:t>
            </w:r>
            <w:r>
              <w:rPr>
                <w:bCs/>
              </w:rPr>
              <w:t>’</w:t>
            </w:r>
            <w:r w:rsidRPr="00DB5740">
              <w:rPr>
                <w:bCs/>
              </w:rPr>
              <w:t>s Discussio</w:t>
            </w:r>
            <w:r w:rsidRPr="00DB5740">
              <w:rPr>
                <w:bCs/>
              </w:rPr>
              <w:t>n and Analysis of Financial Condition and Results of Operations</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3A8F2EBA" w14:textId="77777777" w:rsidR="004C67B7" w:rsidRPr="00DB5740" w:rsidRDefault="005B5528" w:rsidP="004C67B7">
            <w:pPr>
              <w:autoSpaceDE w:val="0"/>
              <w:autoSpaceDN w:val="0"/>
              <w:adjustRightInd w:val="0"/>
              <w:jc w:val="center"/>
            </w:pPr>
            <w:hyperlink r:id="rId128" w:anchor="229.303" w:history="1">
              <w:r w:rsidRPr="00DB5740">
                <w:rPr>
                  <w:rStyle w:val="Hyperlink"/>
                </w:rPr>
                <w:t>303(a)</w:t>
              </w:r>
            </w:hyperlink>
          </w:p>
        </w:tc>
        <w:tc>
          <w:tcPr>
            <w:tcW w:w="1907" w:type="pct"/>
            <w:shd w:val="clear" w:color="auto" w:fill="auto"/>
          </w:tcPr>
          <w:p w14:paraId="22006B84" w14:textId="77777777" w:rsidR="004C67B7" w:rsidRPr="00985775" w:rsidRDefault="005B5528" w:rsidP="004C67B7">
            <w:pPr>
              <w:spacing w:after="120"/>
              <w:rPr>
                <w:b/>
              </w:rPr>
            </w:pPr>
            <w:r w:rsidRPr="00985775">
              <w:rPr>
                <w:b/>
              </w:rPr>
              <w:t>MD&amp;A Overview</w:t>
            </w:r>
          </w:p>
          <w:p w14:paraId="0529678C" w14:textId="77777777" w:rsidR="004C67B7" w:rsidRPr="00985775" w:rsidRDefault="005B5528" w:rsidP="004C67B7">
            <w:pPr>
              <w:spacing w:after="120"/>
              <w:rPr>
                <w:bCs/>
              </w:rPr>
            </w:pPr>
            <w:r w:rsidRPr="00985775">
              <w:rPr>
                <w:bCs/>
              </w:rPr>
              <w:t>The 2020 amendments added an introductory paragraph to Item 303.  This section larg</w:t>
            </w:r>
            <w:r w:rsidRPr="00985775">
              <w:rPr>
                <w:bCs/>
              </w:rPr>
              <w:t xml:space="preserve">ely consolidates earlier instructions and codifies existing guidance.  </w:t>
            </w:r>
            <w:r w:rsidRPr="00985775">
              <w:rPr>
                <w:b/>
              </w:rPr>
              <w:t>Item 303(a) does not require a separate section of MD&amp;A.</w:t>
            </w:r>
            <w:r w:rsidRPr="00985775">
              <w:rPr>
                <w:bCs/>
              </w:rPr>
              <w:t xml:space="preserve">  Item 303(a) reads as follows:</w:t>
            </w:r>
          </w:p>
          <w:p w14:paraId="20760901" w14:textId="77777777" w:rsidR="004C67B7" w:rsidRPr="00DB5740" w:rsidRDefault="005B5528" w:rsidP="004C67B7">
            <w:pPr>
              <w:pStyle w:val="BodyText"/>
              <w:spacing w:after="120"/>
              <w:ind w:left="241"/>
              <w:rPr>
                <w:bCs/>
              </w:rPr>
            </w:pPr>
            <w:r>
              <w:rPr>
                <w:bCs/>
              </w:rPr>
              <w:t>“</w:t>
            </w:r>
            <w:r w:rsidRPr="00DB5740">
              <w:rPr>
                <w:bCs/>
              </w:rPr>
              <w:t>The objective of the discussion and analysis is to provide material information relevant to an a</w:t>
            </w:r>
            <w:r w:rsidRPr="00DB5740">
              <w:rPr>
                <w:bCs/>
              </w:rPr>
              <w:t>ssessment of the financial condition and results of operations of the registrant including an evaluation of the amounts and certainty of cash flows from operations and from outside sources.  The discussion and analysis must focus specifically on material e</w:t>
            </w:r>
            <w:r w:rsidRPr="00DB5740">
              <w:rPr>
                <w:bCs/>
              </w:rPr>
              <w:t xml:space="preserve">vents and uncertainties known to management that are reasonably likely to cause reported financial information not to be necessarily indicative of future operating results or of future financial condition.  This includes </w:t>
            </w:r>
            <w:r>
              <w:rPr>
                <w:bCs/>
              </w:rPr>
              <w:t>d</w:t>
            </w:r>
            <w:r w:rsidRPr="00DB5740">
              <w:rPr>
                <w:bCs/>
              </w:rPr>
              <w:t>escriptions and amounts of matters</w:t>
            </w:r>
            <w:r w:rsidRPr="00DB5740">
              <w:rPr>
                <w:bCs/>
              </w:rPr>
              <w:t xml:space="preserve"> that have had a material impact on reported operations, as well as matters that are reasonably likely based on management</w:t>
            </w:r>
            <w:r>
              <w:rPr>
                <w:bCs/>
              </w:rPr>
              <w:t>’</w:t>
            </w:r>
            <w:r w:rsidRPr="00DB5740">
              <w:rPr>
                <w:bCs/>
              </w:rPr>
              <w:t>s assessment to have a material impact on future operations.  The discussion and analysis must be of the financial statements and oth</w:t>
            </w:r>
            <w:r w:rsidRPr="00DB5740">
              <w:rPr>
                <w:bCs/>
              </w:rPr>
              <w:t>er statistical data that the registrant believes will enhance a reader</w:t>
            </w:r>
            <w:r>
              <w:rPr>
                <w:bCs/>
              </w:rPr>
              <w:t>’</w:t>
            </w:r>
            <w:r w:rsidRPr="00DB5740">
              <w:rPr>
                <w:bCs/>
              </w:rPr>
              <w:t>s understanding of the registrant</w:t>
            </w:r>
            <w:r>
              <w:rPr>
                <w:bCs/>
              </w:rPr>
              <w:t>’</w:t>
            </w:r>
            <w:r w:rsidRPr="00DB5740">
              <w:rPr>
                <w:bCs/>
              </w:rPr>
              <w:t>s financial condition, cash flows and other changes in financial condition and results of operations.  A discussion and analysis that meets the require</w:t>
            </w:r>
            <w:r w:rsidRPr="00DB5740">
              <w:rPr>
                <w:bCs/>
              </w:rPr>
              <w:t>ments of this paragraph (a) is expected to better allow investors to view the registrant from management</w:t>
            </w:r>
            <w:r>
              <w:rPr>
                <w:bCs/>
              </w:rPr>
              <w:t>’</w:t>
            </w:r>
            <w:r w:rsidRPr="00DB5740">
              <w:rPr>
                <w:bCs/>
              </w:rPr>
              <w:t>s perspective.</w:t>
            </w:r>
            <w:r>
              <w:rPr>
                <w:bCs/>
              </w:rPr>
              <w:t>”</w:t>
            </w:r>
          </w:p>
        </w:tc>
        <w:tc>
          <w:tcPr>
            <w:tcW w:w="925" w:type="pct"/>
            <w:shd w:val="clear" w:color="auto" w:fill="auto"/>
          </w:tcPr>
          <w:p w14:paraId="6B44261B" w14:textId="77777777" w:rsidR="004C67B7" w:rsidRPr="00DB5740" w:rsidRDefault="004C67B7" w:rsidP="004C67B7">
            <w:pPr>
              <w:pStyle w:val="BodyText"/>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3076C33C"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C9E27" w14:textId="77777777" w:rsidR="004C67B7" w:rsidRPr="00DB5740" w:rsidRDefault="004C67B7" w:rsidP="004C67B7">
            <w:pPr>
              <w:jc w:val="center"/>
            </w:pPr>
          </w:p>
        </w:tc>
      </w:tr>
      <w:tr w:rsidR="00000000" w14:paraId="5399FD3F"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7AF201E8"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3140102D" w14:textId="77777777" w:rsidR="004C67B7" w:rsidRPr="00DB5740" w:rsidRDefault="005B5528" w:rsidP="004C67B7">
            <w:pPr>
              <w:autoSpaceDE w:val="0"/>
              <w:autoSpaceDN w:val="0"/>
              <w:adjustRightInd w:val="0"/>
              <w:jc w:val="center"/>
            </w:pPr>
            <w:hyperlink r:id="rId129" w:anchor="229.303" w:history="1">
              <w:r w:rsidRPr="00DB5740">
                <w:rPr>
                  <w:rStyle w:val="Hyperlink"/>
                </w:rPr>
                <w:t>303(b)</w:t>
              </w:r>
            </w:hyperlink>
          </w:p>
        </w:tc>
        <w:tc>
          <w:tcPr>
            <w:tcW w:w="1907" w:type="pct"/>
            <w:shd w:val="clear" w:color="auto" w:fill="auto"/>
          </w:tcPr>
          <w:p w14:paraId="01B96199" w14:textId="77777777" w:rsidR="004C67B7" w:rsidRPr="00DB5740" w:rsidRDefault="005B5528" w:rsidP="004C67B7">
            <w:pPr>
              <w:pStyle w:val="BodyText"/>
              <w:spacing w:after="120"/>
              <w:rPr>
                <w:bCs/>
              </w:rPr>
            </w:pPr>
            <w:r w:rsidRPr="00DB5740">
              <w:rPr>
                <w:b/>
              </w:rPr>
              <w:t>Disclosure – Full Fiscal Years</w:t>
            </w:r>
          </w:p>
          <w:p w14:paraId="3FE1D67E" w14:textId="77777777" w:rsidR="004C67B7" w:rsidRPr="00DB5740" w:rsidRDefault="005B5528" w:rsidP="004C67B7">
            <w:pPr>
              <w:pStyle w:val="BodyText"/>
              <w:spacing w:after="120"/>
              <w:rPr>
                <w:bCs/>
              </w:rPr>
            </w:pPr>
            <w:r w:rsidRPr="00DB5740">
              <w:rPr>
                <w:bCs/>
              </w:rPr>
              <w:t>MD&amp;A</w:t>
            </w:r>
            <w:r w:rsidRPr="00DB5740">
              <w:rPr>
                <w:bCs/>
              </w:rPr>
              <w:t xml:space="preserve"> must provide the information specified in Item 303 that the company believes is necessary to understand its financial condition, changes in financial condition and results of operations.</w:t>
            </w:r>
          </w:p>
          <w:p w14:paraId="55EE642F" w14:textId="77777777" w:rsidR="004C67B7" w:rsidRPr="00DB5740" w:rsidRDefault="005B5528" w:rsidP="004C67B7">
            <w:pPr>
              <w:pStyle w:val="BodyText"/>
              <w:spacing w:after="120"/>
              <w:rPr>
                <w:bCs/>
              </w:rPr>
            </w:pPr>
            <w:r w:rsidRPr="00DB5740">
              <w:rPr>
                <w:bCs/>
              </w:rPr>
              <w:t>Where the company</w:t>
            </w:r>
            <w:r>
              <w:rPr>
                <w:bCs/>
              </w:rPr>
              <w:t>’</w:t>
            </w:r>
            <w:r w:rsidRPr="00DB5740">
              <w:rPr>
                <w:bCs/>
              </w:rPr>
              <w:t>s financial statements reflect material changes fr</w:t>
            </w:r>
            <w:r w:rsidRPr="00DB5740">
              <w:rPr>
                <w:bCs/>
              </w:rPr>
              <w:t>om period to period, describe the underlying reasons in quantitative and qualitative terms.</w:t>
            </w:r>
          </w:p>
          <w:p w14:paraId="358649B3" w14:textId="77777777" w:rsidR="004C67B7" w:rsidRPr="00DB5740" w:rsidRDefault="005B5528" w:rsidP="004C67B7">
            <w:pPr>
              <w:pStyle w:val="BodyText"/>
              <w:spacing w:after="120"/>
              <w:rPr>
                <w:bCs/>
              </w:rPr>
            </w:pPr>
            <w:r w:rsidRPr="00DB5740">
              <w:rPr>
                <w:bCs/>
              </w:rPr>
              <w:t>Where a discussion of segment information, geographic areas, product lines or other portions of the company</w:t>
            </w:r>
            <w:r>
              <w:rPr>
                <w:bCs/>
              </w:rPr>
              <w:t>’</w:t>
            </w:r>
            <w:r w:rsidRPr="00DB5740">
              <w:rPr>
                <w:bCs/>
              </w:rPr>
              <w:t>s business is necessary to understand the company</w:t>
            </w:r>
            <w:r>
              <w:rPr>
                <w:bCs/>
              </w:rPr>
              <w:t>’</w:t>
            </w:r>
            <w:r w:rsidRPr="00DB5740">
              <w:rPr>
                <w:bCs/>
              </w:rPr>
              <w:t>s busi</w:t>
            </w:r>
            <w:r w:rsidRPr="00DB5740">
              <w:rPr>
                <w:bCs/>
              </w:rPr>
              <w:t>ness, MD&amp;A mu</w:t>
            </w:r>
            <w:r>
              <w:rPr>
                <w:bCs/>
              </w:rPr>
              <w:t>s</w:t>
            </w:r>
            <w:r w:rsidRPr="00DB5740">
              <w:rPr>
                <w:bCs/>
              </w:rPr>
              <w:t>t focus on each relevant reportable segment or other subdivision, and on the company as a whole.</w:t>
            </w:r>
          </w:p>
          <w:p w14:paraId="7BC61DB5" w14:textId="77777777" w:rsidR="004C67B7" w:rsidRPr="00DB5740" w:rsidRDefault="005B5528" w:rsidP="004C67B7">
            <w:pPr>
              <w:pStyle w:val="BodyText"/>
              <w:spacing w:after="120"/>
              <w:rPr>
                <w:bCs/>
              </w:rPr>
            </w:pPr>
            <w:r w:rsidRPr="00DB5740">
              <w:rPr>
                <w:bCs/>
              </w:rPr>
              <w:t>MD&amp;A should generally cover the periods covered by the financial statements included in the filing, although SEC rules permit the company two omi</w:t>
            </w:r>
            <w:r w:rsidRPr="00DB5740">
              <w:rPr>
                <w:bCs/>
              </w:rPr>
              <w:t xml:space="preserve">t the earliest year of this discussion if the company complies with certain conditions discussed under </w:t>
            </w:r>
            <w:r>
              <w:rPr>
                <w:bCs/>
              </w:rPr>
              <w:t>“</w:t>
            </w:r>
            <w:r w:rsidRPr="00DB5740">
              <w:rPr>
                <w:bCs/>
              </w:rPr>
              <w:t>Optional Two Year Financial Discussion,</w:t>
            </w:r>
            <w:r>
              <w:rPr>
                <w:bCs/>
              </w:rPr>
              <w:t>”</w:t>
            </w:r>
            <w:r w:rsidRPr="00DB5740">
              <w:rPr>
                <w:bCs/>
              </w:rPr>
              <w:t xml:space="preserve"> below.</w:t>
            </w:r>
          </w:p>
          <w:p w14:paraId="7A6EA61B" w14:textId="77777777" w:rsidR="004C67B7" w:rsidRPr="00DB5740" w:rsidRDefault="005B5528" w:rsidP="004C67B7">
            <w:pPr>
              <w:pStyle w:val="BodyText"/>
              <w:spacing w:after="120"/>
              <w:rPr>
                <w:bCs/>
              </w:rPr>
            </w:pPr>
            <w:r w:rsidRPr="00DB5740">
              <w:rPr>
                <w:bCs/>
              </w:rPr>
              <w:t>Smaller reporting companies are only required to cover the two year period required by Rules 8-01 and 8-</w:t>
            </w:r>
            <w:r w:rsidRPr="00DB5740">
              <w:rPr>
                <w:bCs/>
              </w:rPr>
              <w:t>08 of Regulation S-X.</w:t>
            </w:r>
          </w:p>
        </w:tc>
        <w:tc>
          <w:tcPr>
            <w:tcW w:w="925" w:type="pct"/>
            <w:shd w:val="clear" w:color="auto" w:fill="auto"/>
          </w:tcPr>
          <w:p w14:paraId="01E755AB" w14:textId="77777777" w:rsidR="004C67B7" w:rsidRPr="00DB5740" w:rsidRDefault="004C67B7" w:rsidP="004C67B7">
            <w:pPr>
              <w:pStyle w:val="BodyText"/>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22CE3E57"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A5271"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2179AACB"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51364F03"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55952903"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56532ABC" w14:textId="77777777" w:rsidR="004C67B7" w:rsidRPr="00DB5740" w:rsidRDefault="004C67B7" w:rsidP="004C67B7">
            <w:pPr>
              <w:autoSpaceDE w:val="0"/>
              <w:autoSpaceDN w:val="0"/>
              <w:adjustRightInd w:val="0"/>
              <w:jc w:val="center"/>
            </w:pPr>
          </w:p>
        </w:tc>
        <w:tc>
          <w:tcPr>
            <w:tcW w:w="1907" w:type="pct"/>
            <w:shd w:val="clear" w:color="auto" w:fill="auto"/>
          </w:tcPr>
          <w:p w14:paraId="4F9B558C" w14:textId="77777777" w:rsidR="004C67B7" w:rsidRPr="00AF75A3" w:rsidRDefault="005B5528" w:rsidP="004C67B7">
            <w:pPr>
              <w:pStyle w:val="BodyText"/>
              <w:spacing w:after="120"/>
              <w:rPr>
                <w:bCs/>
              </w:rPr>
            </w:pPr>
            <w:r w:rsidRPr="00AF75A3">
              <w:rPr>
                <w:bCs/>
              </w:rPr>
              <w:t>MD&amp;A must provide the information specified in Item 303 that the company believes is necessary to understand its financial condition, changes in financial condition and results of operations.</w:t>
            </w:r>
          </w:p>
          <w:p w14:paraId="152DC13E" w14:textId="77777777" w:rsidR="004C67B7" w:rsidRPr="00AF75A3" w:rsidRDefault="005B5528" w:rsidP="004C67B7">
            <w:pPr>
              <w:pStyle w:val="BodyText"/>
              <w:spacing w:after="120"/>
              <w:rPr>
                <w:bCs/>
              </w:rPr>
            </w:pPr>
            <w:r w:rsidRPr="00AF75A3">
              <w:rPr>
                <w:bCs/>
              </w:rPr>
              <w:t>Where the company</w:t>
            </w:r>
            <w:r>
              <w:rPr>
                <w:bCs/>
              </w:rPr>
              <w:t>’</w:t>
            </w:r>
            <w:r w:rsidRPr="00AF75A3">
              <w:rPr>
                <w:bCs/>
              </w:rPr>
              <w:t>s finan</w:t>
            </w:r>
            <w:r w:rsidRPr="00AF75A3">
              <w:rPr>
                <w:bCs/>
              </w:rPr>
              <w:t>cial statements reflect material changes from period to period, describe the underlying reasons in quantitative and qualitative terms.</w:t>
            </w:r>
          </w:p>
          <w:p w14:paraId="175B11C9" w14:textId="77777777" w:rsidR="004C67B7" w:rsidRPr="00AF75A3" w:rsidRDefault="005B5528" w:rsidP="004C67B7">
            <w:pPr>
              <w:pStyle w:val="BodyText"/>
              <w:spacing w:after="120"/>
              <w:rPr>
                <w:bCs/>
              </w:rPr>
            </w:pPr>
            <w:r w:rsidRPr="00AF75A3">
              <w:rPr>
                <w:bCs/>
              </w:rPr>
              <w:t>Where a discussion of segment informa</w:t>
            </w:r>
            <w:r>
              <w:rPr>
                <w:bCs/>
              </w:rPr>
              <w:t>t</w:t>
            </w:r>
            <w:r w:rsidRPr="00AF75A3">
              <w:rPr>
                <w:bCs/>
              </w:rPr>
              <w:t>ion, geographic areas, product lines or</w:t>
            </w:r>
            <w:r>
              <w:rPr>
                <w:bCs/>
              </w:rPr>
              <w:t xml:space="preserve"> </w:t>
            </w:r>
            <w:r w:rsidRPr="00AF75A3">
              <w:rPr>
                <w:bCs/>
              </w:rPr>
              <w:t>other portions of the company</w:t>
            </w:r>
            <w:r>
              <w:rPr>
                <w:bCs/>
              </w:rPr>
              <w:t>’</w:t>
            </w:r>
            <w:r w:rsidRPr="00AF75A3">
              <w:rPr>
                <w:bCs/>
              </w:rPr>
              <w:t>s business is</w:t>
            </w:r>
            <w:r w:rsidRPr="00AF75A3">
              <w:rPr>
                <w:bCs/>
              </w:rPr>
              <w:t xml:space="preserve"> necessary to understand the company</w:t>
            </w:r>
            <w:r>
              <w:rPr>
                <w:bCs/>
              </w:rPr>
              <w:t>’</w:t>
            </w:r>
            <w:r w:rsidRPr="00AF75A3">
              <w:rPr>
                <w:bCs/>
              </w:rPr>
              <w:t>s business, MD&amp;A must focus on each relevant reportable segment or other subdivision, and on the company as a whole.</w:t>
            </w:r>
          </w:p>
          <w:p w14:paraId="1BC61095" w14:textId="77777777" w:rsidR="004C67B7" w:rsidRPr="00AF75A3" w:rsidRDefault="005B5528" w:rsidP="004C67B7">
            <w:pPr>
              <w:pStyle w:val="BodyText"/>
              <w:spacing w:after="120"/>
              <w:rPr>
                <w:bCs/>
              </w:rPr>
            </w:pPr>
            <w:r w:rsidRPr="00AF75A3">
              <w:rPr>
                <w:bCs/>
              </w:rPr>
              <w:t>MD&amp;A should generally cover the periods covered by the financial statements included in the filing, al</w:t>
            </w:r>
            <w:r w:rsidRPr="00AF75A3">
              <w:rPr>
                <w:bCs/>
              </w:rPr>
              <w:t xml:space="preserve">though SEC rules permit the company two omit the earliest year of this discussion if the company complies with certain conditions discussed under </w:t>
            </w:r>
            <w:r>
              <w:rPr>
                <w:bCs/>
              </w:rPr>
              <w:t>“</w:t>
            </w:r>
            <w:r w:rsidRPr="00AF75A3">
              <w:rPr>
                <w:bCs/>
              </w:rPr>
              <w:t>Optional Two Year Financial Discussion,</w:t>
            </w:r>
            <w:r>
              <w:rPr>
                <w:bCs/>
              </w:rPr>
              <w:t>”</w:t>
            </w:r>
            <w:r w:rsidRPr="00AF75A3">
              <w:rPr>
                <w:bCs/>
              </w:rPr>
              <w:t xml:space="preserve"> below.</w:t>
            </w:r>
          </w:p>
          <w:p w14:paraId="1876DF53" w14:textId="77777777" w:rsidR="004C67B7" w:rsidRPr="00DB5740" w:rsidRDefault="005B5528" w:rsidP="004C67B7">
            <w:pPr>
              <w:pStyle w:val="BodyText"/>
              <w:spacing w:after="120"/>
              <w:rPr>
                <w:b/>
              </w:rPr>
            </w:pPr>
            <w:r w:rsidRPr="00AF75A3">
              <w:rPr>
                <w:bCs/>
              </w:rPr>
              <w:t>Smaller reporting companies are only required to cover the tw</w:t>
            </w:r>
            <w:r w:rsidRPr="00AF75A3">
              <w:rPr>
                <w:bCs/>
              </w:rPr>
              <w:t>o year period required by Rules 8-01 and 8-08 of Regulation S-X</w:t>
            </w:r>
          </w:p>
        </w:tc>
        <w:tc>
          <w:tcPr>
            <w:tcW w:w="925" w:type="pct"/>
            <w:shd w:val="clear" w:color="auto" w:fill="auto"/>
          </w:tcPr>
          <w:p w14:paraId="236239A9" w14:textId="77777777" w:rsidR="004C67B7" w:rsidRPr="00DB5740" w:rsidRDefault="004C67B7" w:rsidP="004C67B7">
            <w:pPr>
              <w:pStyle w:val="BodyText"/>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0A4ADF51"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5CE82"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5DB0583F"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1D5F5F8C"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2B821609"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389418FC" w14:textId="77777777" w:rsidR="004C67B7" w:rsidRPr="00DB5740" w:rsidRDefault="004C67B7" w:rsidP="004C67B7">
            <w:pPr>
              <w:autoSpaceDE w:val="0"/>
              <w:autoSpaceDN w:val="0"/>
              <w:adjustRightInd w:val="0"/>
              <w:jc w:val="center"/>
            </w:pPr>
          </w:p>
        </w:tc>
        <w:tc>
          <w:tcPr>
            <w:tcW w:w="1907" w:type="pct"/>
            <w:shd w:val="clear" w:color="auto" w:fill="auto"/>
          </w:tcPr>
          <w:p w14:paraId="248F3A7D" w14:textId="77777777" w:rsidR="004C67B7" w:rsidRPr="00DB5740" w:rsidRDefault="005B5528" w:rsidP="004C67B7">
            <w:pPr>
              <w:pStyle w:val="BodyText"/>
              <w:spacing w:after="120"/>
              <w:rPr>
                <w:bCs/>
              </w:rPr>
            </w:pPr>
            <w:r w:rsidRPr="00DB5740">
              <w:rPr>
                <w:b/>
              </w:rPr>
              <w:t>Emphasize the Analysis in Management</w:t>
            </w:r>
            <w:r>
              <w:rPr>
                <w:b/>
              </w:rPr>
              <w:t>’</w:t>
            </w:r>
            <w:r w:rsidRPr="00DB5740">
              <w:rPr>
                <w:b/>
              </w:rPr>
              <w:t>s Discussion</w:t>
            </w:r>
          </w:p>
          <w:p w14:paraId="25C39711" w14:textId="77777777" w:rsidR="004C67B7" w:rsidRPr="00DB5740" w:rsidRDefault="005B5528" w:rsidP="004C67B7">
            <w:pPr>
              <w:pStyle w:val="BodyText"/>
              <w:spacing w:after="120"/>
              <w:rPr>
                <w:bCs/>
              </w:rPr>
            </w:pPr>
            <w:r w:rsidRPr="00DB5740">
              <w:rPr>
                <w:bCs/>
              </w:rPr>
              <w:t xml:space="preserve">The 2020 amendments require companies </w:t>
            </w:r>
            <w:r>
              <w:rPr>
                <w:bCs/>
              </w:rPr>
              <w:t>“</w:t>
            </w:r>
            <w:r w:rsidRPr="00DB5740">
              <w:rPr>
                <w:bCs/>
              </w:rPr>
              <w:t xml:space="preserve">to provide a nuanced discussion of the underlying reasons that may be contributing to </w:t>
            </w:r>
            <w:r w:rsidRPr="00DB5740">
              <w:rPr>
                <w:bCs/>
              </w:rPr>
              <w:t>material changes in line items</w:t>
            </w:r>
            <w:r>
              <w:rPr>
                <w:bCs/>
              </w:rPr>
              <w:t>”</w:t>
            </w:r>
            <w:r w:rsidRPr="00DB5740">
              <w:rPr>
                <w:bCs/>
              </w:rPr>
              <w:t xml:space="preserve"> or even offsetting changes within a line item.  Item 303(b) includes the following requirement:</w:t>
            </w:r>
          </w:p>
          <w:p w14:paraId="5B872FDB" w14:textId="77777777" w:rsidR="004C67B7" w:rsidRPr="00DB5740" w:rsidRDefault="005B5528" w:rsidP="004C67B7">
            <w:pPr>
              <w:pStyle w:val="ListBullet"/>
            </w:pPr>
            <w:r w:rsidRPr="00DB5740">
              <w:t>Where the financial statements reflect material changes from period-to-period in one or more l</w:t>
            </w:r>
            <w:r>
              <w:t>i</w:t>
            </w:r>
            <w:r w:rsidRPr="00DB5740">
              <w:t>ne items, including where materia</w:t>
            </w:r>
            <w:r w:rsidRPr="00DB5740">
              <w:t>l chan</w:t>
            </w:r>
            <w:r>
              <w:t>g</w:t>
            </w:r>
            <w:r w:rsidRPr="00DB5740">
              <w:t>es within a line item offset one another, describe the underlying reasons for these material changes in quantitative and qualitative terms.</w:t>
            </w:r>
          </w:p>
          <w:p w14:paraId="6C43C5BD" w14:textId="77777777" w:rsidR="004C67B7" w:rsidRPr="00DB5740" w:rsidRDefault="005B5528" w:rsidP="004C67B7">
            <w:pPr>
              <w:pStyle w:val="BodyText"/>
              <w:spacing w:after="120"/>
              <w:rPr>
                <w:bCs/>
              </w:rPr>
            </w:pPr>
            <w:r w:rsidRPr="00DB5740">
              <w:rPr>
                <w:bCs/>
              </w:rPr>
              <w:t>When drafting or reviewing this disclosure, consider whether there are material trends or uncertainties t</w:t>
            </w:r>
            <w:r>
              <w:rPr>
                <w:bCs/>
              </w:rPr>
              <w:t>h</w:t>
            </w:r>
            <w:r w:rsidRPr="00DB5740">
              <w:rPr>
                <w:bCs/>
              </w:rPr>
              <w:t xml:space="preserve">at </w:t>
            </w:r>
            <w:r w:rsidRPr="00DB5740">
              <w:rPr>
                <w:bCs/>
              </w:rPr>
              <w:t xml:space="preserve">the company should disclose. </w:t>
            </w:r>
          </w:p>
          <w:p w14:paraId="7F05D40D" w14:textId="77777777" w:rsidR="004C67B7" w:rsidRPr="00DB5740" w:rsidRDefault="005B5528" w:rsidP="004C67B7">
            <w:pPr>
              <w:pStyle w:val="BodyText"/>
              <w:spacing w:after="120"/>
              <w:rPr>
                <w:bCs/>
              </w:rPr>
            </w:pPr>
            <w:r w:rsidRPr="00DB5740">
              <w:rPr>
                <w:bCs/>
              </w:rPr>
              <w:t>Confirm that MD&amp;A includes discussion of the underlying reasons for material change</w:t>
            </w:r>
            <w:r>
              <w:rPr>
                <w:bCs/>
              </w:rPr>
              <w:t>s</w:t>
            </w:r>
            <w:r w:rsidRPr="00DB5740">
              <w:rPr>
                <w:bCs/>
              </w:rPr>
              <w:t>, including changes within single line items, and ensure that the company is aware of this requirement where compliance is not apparent.</w:t>
            </w:r>
          </w:p>
        </w:tc>
        <w:tc>
          <w:tcPr>
            <w:tcW w:w="925" w:type="pct"/>
            <w:shd w:val="clear" w:color="auto" w:fill="auto"/>
          </w:tcPr>
          <w:p w14:paraId="1DA4E23F" w14:textId="77777777" w:rsidR="004C67B7" w:rsidRPr="00DB5740" w:rsidRDefault="004C67B7" w:rsidP="004C67B7">
            <w:pPr>
              <w:pStyle w:val="BodyText"/>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5988578A"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931C01" w14:textId="77777777" w:rsidR="004C67B7" w:rsidRPr="00DB5740" w:rsidRDefault="005B5528" w:rsidP="004C67B7">
            <w:pPr>
              <w:jc w:val="center"/>
            </w:pPr>
            <w:r w:rsidRPr="00DB5740">
              <w:t>Yes</w:t>
            </w:r>
            <w:r w:rsidRPr="00DB5740">
              <w:t xml:space="preserve"> </w:t>
            </w:r>
            <w:r w:rsidRPr="00DB5740">
              <w:rPr>
                <w:rFonts w:ascii="Segoe UI Symbol" w:eastAsia="MS Gothic" w:hAnsi="Segoe UI Symbol" w:cs="Segoe UI Symbol"/>
              </w:rPr>
              <w:t>☐</w:t>
            </w:r>
          </w:p>
          <w:p w14:paraId="4CA62828"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79944551"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6EE14F9B"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54B7CDAA" w14:textId="77777777" w:rsidR="004C67B7" w:rsidRPr="00DB5740" w:rsidRDefault="004C67B7" w:rsidP="004C67B7">
            <w:pPr>
              <w:autoSpaceDE w:val="0"/>
              <w:autoSpaceDN w:val="0"/>
              <w:adjustRightInd w:val="0"/>
              <w:jc w:val="center"/>
            </w:pPr>
          </w:p>
        </w:tc>
        <w:tc>
          <w:tcPr>
            <w:tcW w:w="1907" w:type="pct"/>
            <w:shd w:val="clear" w:color="auto" w:fill="auto"/>
          </w:tcPr>
          <w:p w14:paraId="2A59E360" w14:textId="77777777" w:rsidR="004C67B7" w:rsidRPr="00DB5740" w:rsidRDefault="005B5528" w:rsidP="004C67B7">
            <w:pPr>
              <w:pStyle w:val="BodyText"/>
              <w:spacing w:after="120"/>
              <w:rPr>
                <w:b/>
              </w:rPr>
            </w:pPr>
            <w:r w:rsidRPr="00DB5740">
              <w:rPr>
                <w:b/>
              </w:rPr>
              <w:t>Liquidity and Capital Resources</w:t>
            </w:r>
          </w:p>
          <w:p w14:paraId="5574B3F0" w14:textId="77777777" w:rsidR="004C67B7" w:rsidRPr="00DB5740" w:rsidRDefault="005B5528" w:rsidP="004C67B7">
            <w:pPr>
              <w:pStyle w:val="BodyText"/>
              <w:spacing w:after="120"/>
              <w:rPr>
                <w:bCs/>
              </w:rPr>
            </w:pPr>
            <w:r w:rsidRPr="00DB5740">
              <w:rPr>
                <w:bCs/>
              </w:rPr>
              <w:t>MD&amp;A should analyze the company</w:t>
            </w:r>
            <w:r>
              <w:rPr>
                <w:bCs/>
              </w:rPr>
              <w:t>’</w:t>
            </w:r>
            <w:r w:rsidRPr="00DB5740">
              <w:rPr>
                <w:bCs/>
              </w:rPr>
              <w:t>s ability to generate and obtain adequate amounts of cash to meet its requirements and its plans for cash in the short-term (</w:t>
            </w:r>
            <w:r w:rsidRPr="00DB5740">
              <w:rPr>
                <w:bCs/>
                <w:i/>
                <w:iCs/>
              </w:rPr>
              <w:t>i.e</w:t>
            </w:r>
            <w:r w:rsidRPr="00DB5740">
              <w:rPr>
                <w:bCs/>
              </w:rPr>
              <w:t>., the next 12 months from the most recent fiscal pe</w:t>
            </w:r>
            <w:r w:rsidRPr="00DB5740">
              <w:rPr>
                <w:bCs/>
              </w:rPr>
              <w:t>riod end required to be presented) and separately in the long-term (</w:t>
            </w:r>
            <w:r w:rsidRPr="00DB5740">
              <w:rPr>
                <w:bCs/>
                <w:i/>
                <w:iCs/>
              </w:rPr>
              <w:t>i.e</w:t>
            </w:r>
            <w:r w:rsidRPr="00DB5740">
              <w:rPr>
                <w:bCs/>
              </w:rPr>
              <w:t>., beyond the next 12 months).</w:t>
            </w:r>
          </w:p>
          <w:p w14:paraId="7927E4C3" w14:textId="77777777" w:rsidR="004C67B7" w:rsidRPr="00DB5740" w:rsidRDefault="005B5528" w:rsidP="004C67B7">
            <w:pPr>
              <w:pStyle w:val="BodyText"/>
              <w:spacing w:after="120"/>
              <w:rPr>
                <w:bCs/>
              </w:rPr>
            </w:pPr>
            <w:r w:rsidRPr="00DB5740">
              <w:rPr>
                <w:bCs/>
              </w:rPr>
              <w:t xml:space="preserve">MD&amp;A should include the disclosure under </w:t>
            </w:r>
            <w:r>
              <w:rPr>
                <w:bCs/>
              </w:rPr>
              <w:t>“</w:t>
            </w:r>
            <w:r w:rsidRPr="00DB5740">
              <w:rPr>
                <w:bCs/>
              </w:rPr>
              <w:t>Liquidity</w:t>
            </w:r>
            <w:r>
              <w:rPr>
                <w:bCs/>
              </w:rPr>
              <w:t>”</w:t>
            </w:r>
            <w:r w:rsidRPr="00DB5740">
              <w:rPr>
                <w:bCs/>
              </w:rPr>
              <w:t xml:space="preserve"> and </w:t>
            </w:r>
            <w:r>
              <w:rPr>
                <w:bCs/>
              </w:rPr>
              <w:t>“</w:t>
            </w:r>
            <w:r w:rsidRPr="00DB5740">
              <w:rPr>
                <w:bCs/>
              </w:rPr>
              <w:t>Capital Resources</w:t>
            </w:r>
            <w:r>
              <w:rPr>
                <w:bCs/>
              </w:rPr>
              <w:t>”</w:t>
            </w:r>
            <w:r w:rsidRPr="00DB5740">
              <w:rPr>
                <w:bCs/>
              </w:rPr>
              <w:t xml:space="preserve"> below.</w:t>
            </w:r>
          </w:p>
        </w:tc>
        <w:tc>
          <w:tcPr>
            <w:tcW w:w="925" w:type="pct"/>
            <w:shd w:val="clear" w:color="auto" w:fill="auto"/>
          </w:tcPr>
          <w:p w14:paraId="0A80003C" w14:textId="77777777" w:rsidR="004C67B7" w:rsidRPr="00DB5740" w:rsidRDefault="004C67B7" w:rsidP="004C67B7">
            <w:pPr>
              <w:pStyle w:val="BodyText"/>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6B95A6C8"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C2E35"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24F5824B"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1F3B1B39"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48343EF8"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17608464" w14:textId="77777777" w:rsidR="004C67B7" w:rsidRPr="00DB5740" w:rsidRDefault="004C67B7" w:rsidP="004C67B7">
            <w:pPr>
              <w:autoSpaceDE w:val="0"/>
              <w:autoSpaceDN w:val="0"/>
              <w:adjustRightInd w:val="0"/>
              <w:jc w:val="center"/>
            </w:pPr>
          </w:p>
        </w:tc>
        <w:tc>
          <w:tcPr>
            <w:tcW w:w="1907" w:type="pct"/>
            <w:shd w:val="clear" w:color="auto" w:fill="auto"/>
          </w:tcPr>
          <w:p w14:paraId="6CC3B110" w14:textId="77777777" w:rsidR="004C67B7" w:rsidRPr="00DB5740" w:rsidRDefault="005B5528" w:rsidP="004C67B7">
            <w:pPr>
              <w:pStyle w:val="BodyText"/>
              <w:spacing w:after="120"/>
              <w:rPr>
                <w:bCs/>
              </w:rPr>
            </w:pPr>
            <w:r w:rsidRPr="00DB5740">
              <w:rPr>
                <w:b/>
                <w:i/>
                <w:iCs/>
              </w:rPr>
              <w:t>Liquidity</w:t>
            </w:r>
          </w:p>
          <w:p w14:paraId="2A6CB09E" w14:textId="77777777" w:rsidR="004C67B7" w:rsidRPr="00DB5740" w:rsidRDefault="005B5528" w:rsidP="004C67B7">
            <w:pPr>
              <w:pStyle w:val="ListBullet"/>
            </w:pPr>
            <w:r w:rsidRPr="00DB5740">
              <w:t>Identify any known trends or any known dema</w:t>
            </w:r>
            <w:r w:rsidRPr="00DB5740">
              <w:t>nds, commitments, events or uncertainties that will result in or that are reasonably likely to result in the company</w:t>
            </w:r>
            <w:r>
              <w:t>’</w:t>
            </w:r>
            <w:r w:rsidRPr="00DB5740">
              <w:t xml:space="preserve">s liquidity increasing or decreasing in any material way. </w:t>
            </w:r>
          </w:p>
          <w:p w14:paraId="26C07657" w14:textId="77777777" w:rsidR="004C67B7" w:rsidRPr="00DB5740" w:rsidRDefault="005B5528" w:rsidP="004C67B7">
            <w:pPr>
              <w:pStyle w:val="ListBullet"/>
            </w:pPr>
            <w:r w:rsidRPr="00DB5740">
              <w:t xml:space="preserve">If a material deficiency is identified, indicate the course of action that the </w:t>
            </w:r>
            <w:r>
              <w:t>c</w:t>
            </w:r>
            <w:r>
              <w:t>ompany</w:t>
            </w:r>
            <w:r w:rsidRPr="00DB5740">
              <w:t xml:space="preserve"> has taken or proposes to take to remedy the deficiency.</w:t>
            </w:r>
          </w:p>
          <w:p w14:paraId="4088B262" w14:textId="77777777" w:rsidR="004C67B7" w:rsidRPr="00DB5740" w:rsidRDefault="005B5528" w:rsidP="004C67B7">
            <w:pPr>
              <w:pStyle w:val="ListBullet"/>
            </w:pPr>
            <w:r w:rsidRPr="00DB5740">
              <w:t>Identify and separately describe internal and external sources of liquidity, and briefly discuss any material unused sources of liquid assets.</w:t>
            </w:r>
          </w:p>
        </w:tc>
        <w:tc>
          <w:tcPr>
            <w:tcW w:w="925" w:type="pct"/>
            <w:shd w:val="clear" w:color="auto" w:fill="auto"/>
          </w:tcPr>
          <w:p w14:paraId="57303E14" w14:textId="77777777" w:rsidR="004C67B7" w:rsidRPr="00DB5740" w:rsidRDefault="004C67B7" w:rsidP="004C67B7">
            <w:pPr>
              <w:pStyle w:val="BodyText"/>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70CA755B"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51A13"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38C601AD"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7062C28C"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39901739"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67D7C46A" w14:textId="77777777" w:rsidR="004C67B7" w:rsidRPr="00DB5740" w:rsidRDefault="004C67B7" w:rsidP="004C67B7">
            <w:pPr>
              <w:autoSpaceDE w:val="0"/>
              <w:autoSpaceDN w:val="0"/>
              <w:adjustRightInd w:val="0"/>
              <w:jc w:val="center"/>
            </w:pPr>
          </w:p>
        </w:tc>
        <w:tc>
          <w:tcPr>
            <w:tcW w:w="1907" w:type="pct"/>
            <w:shd w:val="clear" w:color="auto" w:fill="auto"/>
          </w:tcPr>
          <w:p w14:paraId="5B970720" w14:textId="77777777" w:rsidR="004C67B7" w:rsidRPr="00DB5740" w:rsidRDefault="005B5528" w:rsidP="004C67B7">
            <w:pPr>
              <w:pStyle w:val="BodyText"/>
              <w:spacing w:after="120"/>
              <w:rPr>
                <w:bCs/>
              </w:rPr>
            </w:pPr>
            <w:r w:rsidRPr="00DB5740">
              <w:rPr>
                <w:b/>
                <w:i/>
                <w:iCs/>
              </w:rPr>
              <w:t>Capital Re</w:t>
            </w:r>
            <w:r>
              <w:rPr>
                <w:b/>
                <w:i/>
                <w:iCs/>
              </w:rPr>
              <w:t>s</w:t>
            </w:r>
            <w:r w:rsidRPr="00DB5740">
              <w:rPr>
                <w:b/>
                <w:i/>
                <w:iCs/>
              </w:rPr>
              <w:t>ources</w:t>
            </w:r>
          </w:p>
          <w:p w14:paraId="4BF930B0" w14:textId="77777777" w:rsidR="004C67B7" w:rsidRPr="00DB5740" w:rsidRDefault="005B5528" w:rsidP="004C67B7">
            <w:pPr>
              <w:pStyle w:val="BodyText"/>
              <w:spacing w:after="120"/>
              <w:rPr>
                <w:bCs/>
              </w:rPr>
            </w:pPr>
            <w:r w:rsidRPr="00DB5740">
              <w:rPr>
                <w:bCs/>
              </w:rPr>
              <w:t>As</w:t>
            </w:r>
            <w:r>
              <w:rPr>
                <w:bCs/>
              </w:rPr>
              <w:t xml:space="preserve"> </w:t>
            </w:r>
            <w:r w:rsidRPr="00DB5740">
              <w:rPr>
                <w:bCs/>
              </w:rPr>
              <w:t>of th</w:t>
            </w:r>
            <w:r>
              <w:rPr>
                <w:bCs/>
              </w:rPr>
              <w:t>e</w:t>
            </w:r>
            <w:r w:rsidRPr="00DB5740">
              <w:rPr>
                <w:bCs/>
              </w:rPr>
              <w:t xml:space="preserve"> end o</w:t>
            </w:r>
            <w:r w:rsidRPr="00DB5740">
              <w:rPr>
                <w:bCs/>
              </w:rPr>
              <w:t>f the lates</w:t>
            </w:r>
            <w:r>
              <w:rPr>
                <w:bCs/>
              </w:rPr>
              <w:t>t</w:t>
            </w:r>
            <w:r w:rsidRPr="00DB5740">
              <w:rPr>
                <w:bCs/>
              </w:rPr>
              <w:t xml:space="preserve"> fiscal year, describe:</w:t>
            </w:r>
          </w:p>
          <w:p w14:paraId="31CDB684" w14:textId="77777777" w:rsidR="004C67B7" w:rsidRPr="00DB5740" w:rsidRDefault="005B5528" w:rsidP="004C67B7">
            <w:pPr>
              <w:pStyle w:val="ListBullet"/>
            </w:pPr>
            <w:r w:rsidRPr="00DB5740">
              <w:t>all known material cash requirements, including but not limited to commitments for capital expenditures, and including also (1) known contractual obligations such as lease obligations, purchase obligations or other liabi</w:t>
            </w:r>
            <w:r w:rsidRPr="00DB5740">
              <w:t>lities and (2) expenditures and commitments that may be important to companies for which human capital or intellectual property are key resources but do not qualify as capital expenditures under GAAP;</w:t>
            </w:r>
          </w:p>
          <w:p w14:paraId="3BDFB2FB" w14:textId="77777777" w:rsidR="004C67B7" w:rsidRPr="00DB5740" w:rsidRDefault="005B5528" w:rsidP="004C67B7">
            <w:pPr>
              <w:pStyle w:val="ListBullet"/>
            </w:pPr>
            <w:r w:rsidRPr="00DB5740">
              <w:t xml:space="preserve">the anticipated source of funds needed to satisfy such </w:t>
            </w:r>
            <w:r w:rsidRPr="00DB5740">
              <w:t>cash requirements; and</w:t>
            </w:r>
          </w:p>
          <w:p w14:paraId="0FE21689" w14:textId="77777777" w:rsidR="004C67B7" w:rsidRPr="00DB5740" w:rsidRDefault="005B5528" w:rsidP="004C67B7">
            <w:pPr>
              <w:pStyle w:val="ListBullet"/>
              <w:rPr>
                <w:b/>
              </w:rPr>
            </w:pPr>
            <w:r w:rsidRPr="00DB5740">
              <w:t>the general purpose of such requirements.</w:t>
            </w:r>
          </w:p>
        </w:tc>
        <w:tc>
          <w:tcPr>
            <w:tcW w:w="925" w:type="pct"/>
            <w:shd w:val="clear" w:color="auto" w:fill="auto"/>
          </w:tcPr>
          <w:p w14:paraId="6F8746F4" w14:textId="77777777" w:rsidR="004C67B7" w:rsidRPr="00DB5740" w:rsidRDefault="004C67B7" w:rsidP="004C67B7">
            <w:pPr>
              <w:pStyle w:val="BodyText"/>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33B9FFE5"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AB469"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2707C6CF"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2929A6BC"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17CE67EA"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64753F37" w14:textId="77777777" w:rsidR="004C67B7" w:rsidRPr="00DB5740" w:rsidRDefault="004C67B7" w:rsidP="004C67B7">
            <w:pPr>
              <w:autoSpaceDE w:val="0"/>
              <w:autoSpaceDN w:val="0"/>
              <w:adjustRightInd w:val="0"/>
              <w:jc w:val="center"/>
            </w:pPr>
          </w:p>
        </w:tc>
        <w:tc>
          <w:tcPr>
            <w:tcW w:w="1907" w:type="pct"/>
            <w:shd w:val="clear" w:color="auto" w:fill="auto"/>
          </w:tcPr>
          <w:p w14:paraId="01071E90" w14:textId="77777777" w:rsidR="004C67B7" w:rsidRPr="00DB5740" w:rsidRDefault="005B5528" w:rsidP="004C67B7">
            <w:pPr>
              <w:pStyle w:val="BodyText"/>
              <w:spacing w:after="120"/>
              <w:rPr>
                <w:b/>
              </w:rPr>
            </w:pPr>
            <w:r w:rsidRPr="00DB5740">
              <w:rPr>
                <w:b/>
              </w:rPr>
              <w:t>Results of Operations</w:t>
            </w:r>
          </w:p>
          <w:p w14:paraId="092C3E47" w14:textId="77777777" w:rsidR="004C67B7" w:rsidRPr="00DB5740" w:rsidRDefault="005B5528" w:rsidP="004C67B7">
            <w:pPr>
              <w:pStyle w:val="ListBullet"/>
            </w:pPr>
            <w:r w:rsidRPr="00DB5740">
              <w:t>Describe any unusual or infrequent events or transactions or any significant economic changes that materially affected the amount of reported income fro</w:t>
            </w:r>
            <w:r w:rsidRPr="00DB5740">
              <w:t>m continuing operations and, in each case, indicate the extent to which income was so affected.</w:t>
            </w:r>
          </w:p>
          <w:p w14:paraId="015DD39C" w14:textId="77777777" w:rsidR="004C67B7" w:rsidRPr="00DB5740" w:rsidRDefault="005B5528" w:rsidP="004C67B7">
            <w:pPr>
              <w:pStyle w:val="ListBullet"/>
            </w:pPr>
            <w:r w:rsidRPr="00DB5740">
              <w:t>Describe any other significant components of revenues or expenses that, in the company</w:t>
            </w:r>
            <w:r>
              <w:t>’</w:t>
            </w:r>
            <w:r w:rsidRPr="00DB5740">
              <w:t xml:space="preserve">s judgment, would be material to an understanding of the </w:t>
            </w:r>
            <w:r>
              <w:t>company’s</w:t>
            </w:r>
            <w:r w:rsidRPr="00DB5740">
              <w:t xml:space="preserve"> result</w:t>
            </w:r>
            <w:r w:rsidRPr="00DB5740">
              <w:t>s of operations.</w:t>
            </w:r>
          </w:p>
          <w:p w14:paraId="078BADED" w14:textId="77777777" w:rsidR="004C67B7" w:rsidRPr="00DB5740" w:rsidRDefault="005B5528" w:rsidP="004C67B7">
            <w:pPr>
              <w:pStyle w:val="ListBullet"/>
            </w:pPr>
            <w:r w:rsidRPr="00DB5740">
              <w:t xml:space="preserve">Describe any known trends or uncertainties that have had or that are reasonably likely to have a material favorable or unfavorable impact on net sales or revenues or income from continuing operations. </w:t>
            </w:r>
          </w:p>
          <w:p w14:paraId="149C194F" w14:textId="77777777" w:rsidR="004C67B7" w:rsidRPr="00DB5740" w:rsidRDefault="005B5528" w:rsidP="004C67B7">
            <w:pPr>
              <w:pStyle w:val="ListBullet"/>
            </w:pPr>
            <w:r w:rsidRPr="00DB5740">
              <w:t>If the company knows of any events th</w:t>
            </w:r>
            <w:r w:rsidRPr="00DB5740">
              <w:t xml:space="preserve">at are reasonably likely to cause a </w:t>
            </w:r>
            <w:r w:rsidRPr="00DB5740">
              <w:rPr>
                <w:b/>
              </w:rPr>
              <w:t>material change</w:t>
            </w:r>
            <w:r w:rsidRPr="00DB5740">
              <w:t xml:space="preserve"> (rather than only material increases) in costs and revenues and the relationship between costs and revenues (such as known or reasonably likely future increases in costs of labor or materials or price inc</w:t>
            </w:r>
            <w:r w:rsidRPr="00DB5740">
              <w:t>reases or inventory adjustments), disclose the change in the relationship.</w:t>
            </w:r>
          </w:p>
          <w:p w14:paraId="43839582" w14:textId="77777777" w:rsidR="004C67B7" w:rsidRPr="00DB5740" w:rsidRDefault="005B5528" w:rsidP="004C67B7">
            <w:pPr>
              <w:pStyle w:val="ListBullet"/>
            </w:pPr>
            <w:r w:rsidRPr="00DB5740">
              <w:t>If the income statement presents material changes from period to period in either net sales or revenue, describe the extent to which the changes are attributable to changes in price</w:t>
            </w:r>
            <w:r w:rsidRPr="00DB5740">
              <w:t>s or to changes in the volume or amount of goods or services being sold or to the introduction of new products or services.</w:t>
            </w:r>
          </w:p>
        </w:tc>
        <w:tc>
          <w:tcPr>
            <w:tcW w:w="925" w:type="pct"/>
            <w:shd w:val="clear" w:color="auto" w:fill="auto"/>
          </w:tcPr>
          <w:p w14:paraId="2A0B83B4" w14:textId="77777777" w:rsidR="004C67B7" w:rsidRPr="00DB5740" w:rsidRDefault="004C67B7" w:rsidP="004C67B7">
            <w:pPr>
              <w:pStyle w:val="BodyText"/>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16C86450"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D1553"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10E7D6D7"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726CAD7D"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3DEE4FB7"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7A74FC03" w14:textId="77777777" w:rsidR="004C67B7" w:rsidRPr="00DB5740" w:rsidRDefault="004C67B7" w:rsidP="004C67B7">
            <w:pPr>
              <w:autoSpaceDE w:val="0"/>
              <w:autoSpaceDN w:val="0"/>
              <w:adjustRightInd w:val="0"/>
              <w:jc w:val="center"/>
            </w:pPr>
          </w:p>
        </w:tc>
        <w:tc>
          <w:tcPr>
            <w:tcW w:w="1907" w:type="pct"/>
            <w:shd w:val="clear" w:color="auto" w:fill="auto"/>
          </w:tcPr>
          <w:p w14:paraId="74F50BCD" w14:textId="77777777" w:rsidR="004C67B7" w:rsidRPr="00DB5740" w:rsidRDefault="005B5528" w:rsidP="004C67B7">
            <w:pPr>
              <w:pStyle w:val="BodyText"/>
              <w:spacing w:after="120"/>
            </w:pPr>
            <w:r w:rsidRPr="00DB5740">
              <w:rPr>
                <w:b/>
                <w:bCs/>
              </w:rPr>
              <w:t xml:space="preserve">Item 303 requires disclosure of trends related to material research and development activities and expenses. </w:t>
            </w:r>
            <w:r w:rsidRPr="00DB5740">
              <w:t xml:space="preserve"> Compa</w:t>
            </w:r>
            <w:r w:rsidRPr="00DB5740">
              <w:t>nies may also disclose this information voluntarily as part of the business discussion.</w:t>
            </w:r>
          </w:p>
          <w:p w14:paraId="77D2BC78" w14:textId="77777777" w:rsidR="004C67B7" w:rsidRPr="00DB5740" w:rsidRDefault="005B5528" w:rsidP="004C67B7">
            <w:pPr>
              <w:pStyle w:val="BodyText"/>
              <w:spacing w:after="120"/>
              <w:rPr>
                <w:b/>
              </w:rPr>
            </w:pPr>
            <w:r w:rsidRPr="00DB5740">
              <w:t>Confirm that this disclosure is included In MD&amp;A and/or Business, to the extent material.</w:t>
            </w:r>
          </w:p>
        </w:tc>
        <w:tc>
          <w:tcPr>
            <w:tcW w:w="925" w:type="pct"/>
            <w:shd w:val="clear" w:color="auto" w:fill="auto"/>
          </w:tcPr>
          <w:p w14:paraId="6A953151" w14:textId="77777777" w:rsidR="004C67B7" w:rsidRPr="00DB5740" w:rsidRDefault="004C67B7" w:rsidP="004C67B7">
            <w:pPr>
              <w:pStyle w:val="BodyText"/>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7891D5A7"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E50B9"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592B6FCB"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2C26A860"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FFFFFF"/>
          </w:tcPr>
          <w:p w14:paraId="4E488015"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4E668037" w14:textId="77777777" w:rsidR="004C67B7" w:rsidRPr="00DB5740" w:rsidRDefault="004C67B7" w:rsidP="004C67B7">
            <w:pPr>
              <w:autoSpaceDE w:val="0"/>
              <w:autoSpaceDN w:val="0"/>
              <w:adjustRightInd w:val="0"/>
              <w:jc w:val="center"/>
            </w:pPr>
          </w:p>
        </w:tc>
        <w:tc>
          <w:tcPr>
            <w:tcW w:w="1907" w:type="pct"/>
            <w:shd w:val="clear" w:color="auto" w:fill="FFFFFF"/>
          </w:tcPr>
          <w:p w14:paraId="4D51AEF9" w14:textId="77777777" w:rsidR="004C67B7" w:rsidRPr="00DB5740" w:rsidRDefault="005B5528" w:rsidP="004C67B7">
            <w:pPr>
              <w:pStyle w:val="BodyText"/>
              <w:spacing w:after="120"/>
              <w:rPr>
                <w:b/>
              </w:rPr>
            </w:pPr>
            <w:r w:rsidRPr="00DB5740">
              <w:rPr>
                <w:b/>
              </w:rPr>
              <w:t>Critical Accounting Estimates</w:t>
            </w:r>
          </w:p>
          <w:p w14:paraId="51B25D00" w14:textId="77777777" w:rsidR="004C67B7" w:rsidRPr="00DB5740" w:rsidRDefault="005B5528" w:rsidP="004C67B7">
            <w:pPr>
              <w:pStyle w:val="BodyText"/>
              <w:spacing w:after="120"/>
              <w:rPr>
                <w:bCs/>
              </w:rPr>
            </w:pPr>
            <w:r w:rsidRPr="00DB5740">
              <w:rPr>
                <w:bCs/>
              </w:rPr>
              <w:t>The 2020 amendments generally c</w:t>
            </w:r>
            <w:r w:rsidRPr="00DB5740">
              <w:rPr>
                <w:bCs/>
              </w:rPr>
              <w:t>odified prior SEC guidance about disclosure of critical accounting estimates, which are estimates made in accordance GAAP that involve significant uncertainty and that have had (or are reasonable likely to have) a material impact on a company</w:t>
            </w:r>
            <w:r>
              <w:rPr>
                <w:bCs/>
              </w:rPr>
              <w:t>’</w:t>
            </w:r>
            <w:r w:rsidRPr="00DB5740">
              <w:rPr>
                <w:bCs/>
              </w:rPr>
              <w:t>s financial c</w:t>
            </w:r>
            <w:r w:rsidRPr="00DB5740">
              <w:rPr>
                <w:bCs/>
              </w:rPr>
              <w:t xml:space="preserve">ondition or results of operations. </w:t>
            </w:r>
          </w:p>
          <w:p w14:paraId="42A69AF9" w14:textId="77777777" w:rsidR="004C67B7" w:rsidRPr="00DB5740" w:rsidRDefault="005B5528" w:rsidP="004C67B7">
            <w:pPr>
              <w:pStyle w:val="BodyText"/>
              <w:spacing w:after="120"/>
              <w:rPr>
                <w:bCs/>
              </w:rPr>
            </w:pPr>
            <w:r w:rsidRPr="00DB5740">
              <w:rPr>
                <w:bCs/>
              </w:rPr>
              <w:t>Item 303(b)(3) requires companies to provide qualitative and quantitative information necessary to understand the uncertainty of each critical accounting estimate and the impact the estimate has had or is reasonably like</w:t>
            </w:r>
            <w:r w:rsidRPr="00DB5740">
              <w:rPr>
                <w:bCs/>
              </w:rPr>
              <w:t xml:space="preserve">ly to have on financial condition or results of operations, to the extent the information is material and reasonably available. </w:t>
            </w:r>
          </w:p>
          <w:p w14:paraId="0C94115C" w14:textId="77777777" w:rsidR="004C67B7" w:rsidRPr="00DB5740" w:rsidRDefault="005B5528" w:rsidP="004C67B7">
            <w:pPr>
              <w:pStyle w:val="BodyText"/>
              <w:spacing w:after="120"/>
              <w:rPr>
                <w:bCs/>
              </w:rPr>
            </w:pPr>
            <w:r w:rsidRPr="00DB5740">
              <w:rPr>
                <w:bCs/>
              </w:rPr>
              <w:t>This should include:</w:t>
            </w:r>
          </w:p>
          <w:p w14:paraId="276AB42A" w14:textId="77777777" w:rsidR="004C67B7" w:rsidRPr="00DB5740" w:rsidRDefault="005B5528" w:rsidP="004C67B7">
            <w:pPr>
              <w:pStyle w:val="ListBullet"/>
            </w:pPr>
            <w:r w:rsidRPr="00DB5740">
              <w:t>why each critical accounting estimate is subject to uncertainty;</w:t>
            </w:r>
          </w:p>
          <w:p w14:paraId="438E7C82" w14:textId="77777777" w:rsidR="004C67B7" w:rsidRPr="00DB5740" w:rsidRDefault="005B5528" w:rsidP="004C67B7">
            <w:pPr>
              <w:pStyle w:val="ListBullet"/>
            </w:pPr>
            <w:r w:rsidRPr="00DB5740">
              <w:t xml:space="preserve">how much each estimate or assumption has </w:t>
            </w:r>
            <w:r w:rsidRPr="00DB5740">
              <w:t>changed over the relevant period, to the extent material and reasonably available; and</w:t>
            </w:r>
          </w:p>
          <w:p w14:paraId="4C4B6B7B" w14:textId="77777777" w:rsidR="004C67B7" w:rsidRPr="00DB5740" w:rsidRDefault="005B5528" w:rsidP="004C67B7">
            <w:pPr>
              <w:pStyle w:val="ListBullet"/>
            </w:pPr>
            <w:r w:rsidRPr="00DB5740">
              <w:t>the sensitivity of the reported amount to the methods, assumptions and estimates that underly the company</w:t>
            </w:r>
            <w:r>
              <w:t>’</w:t>
            </w:r>
            <w:r w:rsidRPr="00DB5740">
              <w:t>s calculation, to the extent material and reasonably available.</w:t>
            </w:r>
          </w:p>
          <w:p w14:paraId="046728E0" w14:textId="77777777" w:rsidR="004C67B7" w:rsidRPr="00DB5740" w:rsidRDefault="005B5528" w:rsidP="004C67B7">
            <w:pPr>
              <w:pStyle w:val="BodyText"/>
              <w:spacing w:after="120"/>
              <w:rPr>
                <w:bCs/>
              </w:rPr>
            </w:pPr>
            <w:r w:rsidRPr="00DB5740">
              <w:rPr>
                <w:bCs/>
              </w:rPr>
              <w:t xml:space="preserve">Instruction 3 to Item 303)(b)(3) specifically requires that the critical accounting estimates disclosure </w:t>
            </w:r>
            <w:r>
              <w:rPr>
                <w:bCs/>
              </w:rPr>
              <w:t>“</w:t>
            </w:r>
            <w:r w:rsidRPr="00DB5740">
              <w:rPr>
                <w:bCs/>
              </w:rPr>
              <w:t>must supplement, but not duplicate, the description of accounting policies or other disclosures in the notes to the financial statements.</w:t>
            </w:r>
            <w:r>
              <w:rPr>
                <w:bCs/>
              </w:rPr>
              <w:t>”</w:t>
            </w:r>
          </w:p>
        </w:tc>
        <w:tc>
          <w:tcPr>
            <w:tcW w:w="925" w:type="pct"/>
            <w:shd w:val="clear" w:color="auto" w:fill="FFFFFF"/>
          </w:tcPr>
          <w:p w14:paraId="0497CF07" w14:textId="77777777" w:rsidR="004C67B7" w:rsidRPr="00DB5740" w:rsidRDefault="004C67B7" w:rsidP="004C67B7">
            <w:pPr>
              <w:pStyle w:val="BodyText"/>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FFFFFF"/>
          </w:tcPr>
          <w:p w14:paraId="4EEDF51E"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E154DF"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7481A1BC" w14:textId="77777777" w:rsidR="004C67B7" w:rsidRPr="00DB5740" w:rsidRDefault="005B5528" w:rsidP="004C67B7">
            <w:pPr>
              <w:jc w:val="center"/>
            </w:pPr>
            <w:r w:rsidRPr="00DB5740">
              <w:t>No</w:t>
            </w:r>
            <w:r w:rsidRPr="00DB5740">
              <w:t xml:space="preserve">  </w:t>
            </w:r>
            <w:r w:rsidRPr="00DB5740">
              <w:rPr>
                <w:rFonts w:ascii="Segoe UI Symbol" w:eastAsia="MS Gothic" w:hAnsi="Segoe UI Symbol" w:cs="Segoe UI Symbol"/>
              </w:rPr>
              <w:t>☐</w:t>
            </w:r>
          </w:p>
        </w:tc>
      </w:tr>
      <w:tr w:rsidR="00000000" w14:paraId="3F124F18"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FFFFFF"/>
          </w:tcPr>
          <w:p w14:paraId="6216471C"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0BB2EE04" w14:textId="77777777" w:rsidR="004C67B7" w:rsidRPr="00DB5740" w:rsidRDefault="004C67B7" w:rsidP="004C67B7">
            <w:pPr>
              <w:autoSpaceDE w:val="0"/>
              <w:autoSpaceDN w:val="0"/>
              <w:adjustRightInd w:val="0"/>
              <w:jc w:val="center"/>
            </w:pPr>
          </w:p>
        </w:tc>
        <w:tc>
          <w:tcPr>
            <w:tcW w:w="1907" w:type="pct"/>
            <w:shd w:val="clear" w:color="auto" w:fill="FFFFFF"/>
          </w:tcPr>
          <w:p w14:paraId="6A61D80E" w14:textId="77777777" w:rsidR="004C67B7" w:rsidRPr="00DB5740" w:rsidRDefault="005B5528" w:rsidP="004C67B7">
            <w:pPr>
              <w:pStyle w:val="BodyText"/>
              <w:spacing w:after="120"/>
              <w:rPr>
                <w:bCs/>
              </w:rPr>
            </w:pPr>
            <w:r w:rsidRPr="00DB5740">
              <w:rPr>
                <w:b/>
              </w:rPr>
              <w:t>Contractual Obligations Table</w:t>
            </w:r>
          </w:p>
          <w:p w14:paraId="46AA91AA" w14:textId="77777777" w:rsidR="004C67B7" w:rsidRPr="00DB5740" w:rsidRDefault="005B5528" w:rsidP="004C67B7">
            <w:pPr>
              <w:pStyle w:val="BodyText"/>
              <w:spacing w:after="120"/>
              <w:rPr>
                <w:bCs/>
              </w:rPr>
            </w:pPr>
            <w:r w:rsidRPr="00DB5740">
              <w:rPr>
                <w:bCs/>
              </w:rPr>
              <w:t>The 2020 amendments to Items 301, 302 and 303 eliminated the contractual obligations table.  These requirements have been replaced with new, more flexible principles-based disclosure requirements within liquidity and ca</w:t>
            </w:r>
            <w:r w:rsidRPr="00DB5740">
              <w:rPr>
                <w:bCs/>
              </w:rPr>
              <w:t>pital resources in Item 303(b)(1).</w:t>
            </w:r>
          </w:p>
          <w:p w14:paraId="18A2F4E9" w14:textId="77777777" w:rsidR="004C67B7" w:rsidRPr="00DB5740" w:rsidRDefault="005B5528" w:rsidP="004C67B7">
            <w:pPr>
              <w:pStyle w:val="BodyText"/>
              <w:spacing w:after="120"/>
              <w:rPr>
                <w:bCs/>
              </w:rPr>
            </w:pPr>
            <w:r w:rsidRPr="00DB5740">
              <w:rPr>
                <w:bCs/>
              </w:rPr>
              <w:t xml:space="preserve">Confirm that there is no table captioned </w:t>
            </w:r>
            <w:r>
              <w:rPr>
                <w:bCs/>
              </w:rPr>
              <w:t>“</w:t>
            </w:r>
            <w:r w:rsidRPr="00DB5740">
              <w:rPr>
                <w:bCs/>
              </w:rPr>
              <w:t>Contractual Obligations Table.</w:t>
            </w:r>
            <w:r>
              <w:rPr>
                <w:bCs/>
              </w:rPr>
              <w:t>”</w:t>
            </w:r>
            <w:r w:rsidRPr="00DB5740">
              <w:rPr>
                <w:bCs/>
              </w:rPr>
              <w:t xml:space="preserve">  If there is, </w:t>
            </w:r>
            <w:r>
              <w:rPr>
                <w:bCs/>
              </w:rPr>
              <w:t xml:space="preserve">note </w:t>
            </w:r>
            <w:r w:rsidRPr="00DB5740">
              <w:rPr>
                <w:bCs/>
              </w:rPr>
              <w:t>that this table is no longer required in the form prescribed by SEC rules prior to the 2020 amendments.</w:t>
            </w:r>
            <w:r>
              <w:rPr>
                <w:bCs/>
              </w:rPr>
              <w:t xml:space="preserve">  </w:t>
            </w:r>
            <w:r w:rsidRPr="00DB5740">
              <w:rPr>
                <w:bCs/>
              </w:rPr>
              <w:t xml:space="preserve">Note </w:t>
            </w:r>
            <w:r>
              <w:rPr>
                <w:bCs/>
              </w:rPr>
              <w:t xml:space="preserve">also </w:t>
            </w:r>
            <w:r w:rsidRPr="00DB5740">
              <w:rPr>
                <w:bCs/>
              </w:rPr>
              <w:t>that the comp</w:t>
            </w:r>
            <w:r w:rsidRPr="00DB5740">
              <w:rPr>
                <w:bCs/>
              </w:rPr>
              <w:t>any may choose to provide a table in order to comply with the new principles-based disclosure requirements.</w:t>
            </w:r>
          </w:p>
          <w:p w14:paraId="3E9A536E" w14:textId="77777777" w:rsidR="004C67B7" w:rsidRPr="00583CB6" w:rsidRDefault="005B5528" w:rsidP="004C67B7">
            <w:pPr>
              <w:pStyle w:val="BodyText"/>
              <w:spacing w:after="120"/>
              <w:rPr>
                <w:bCs/>
                <w:i/>
                <w:iCs/>
              </w:rPr>
            </w:pPr>
            <w:r w:rsidRPr="00583CB6">
              <w:rPr>
                <w:bCs/>
                <w:i/>
                <w:iCs/>
              </w:rPr>
              <w:t>Conf</w:t>
            </w:r>
            <w:r>
              <w:rPr>
                <w:bCs/>
                <w:i/>
                <w:iCs/>
              </w:rPr>
              <w:t>ir</w:t>
            </w:r>
            <w:r w:rsidRPr="00583CB6">
              <w:rPr>
                <w:bCs/>
                <w:i/>
                <w:iCs/>
              </w:rPr>
              <w:t>m that MD&amp;A complies with the requirements of the 2020 amendments.</w:t>
            </w:r>
          </w:p>
        </w:tc>
        <w:tc>
          <w:tcPr>
            <w:tcW w:w="925" w:type="pct"/>
            <w:shd w:val="clear" w:color="auto" w:fill="FFFFFF"/>
          </w:tcPr>
          <w:p w14:paraId="417F730F" w14:textId="77777777" w:rsidR="004C67B7" w:rsidRPr="00DB5740" w:rsidRDefault="004C67B7" w:rsidP="004C67B7">
            <w:pPr>
              <w:pStyle w:val="BodyText"/>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FFFFFF"/>
          </w:tcPr>
          <w:p w14:paraId="516DE6F5"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421D0D"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03611940"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3B358DE8"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FFFFFF"/>
          </w:tcPr>
          <w:p w14:paraId="3C711F53"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5ACB9169" w14:textId="77777777" w:rsidR="004C67B7" w:rsidRPr="00DB5740" w:rsidRDefault="004C67B7" w:rsidP="004C67B7">
            <w:pPr>
              <w:autoSpaceDE w:val="0"/>
              <w:autoSpaceDN w:val="0"/>
              <w:adjustRightInd w:val="0"/>
              <w:jc w:val="center"/>
            </w:pPr>
          </w:p>
        </w:tc>
        <w:tc>
          <w:tcPr>
            <w:tcW w:w="1907" w:type="pct"/>
            <w:shd w:val="clear" w:color="auto" w:fill="FFFFFF"/>
          </w:tcPr>
          <w:p w14:paraId="4E965651" w14:textId="77777777" w:rsidR="004C67B7" w:rsidRPr="00DB5740" w:rsidRDefault="005B5528" w:rsidP="004C67B7">
            <w:pPr>
              <w:pStyle w:val="BodyText"/>
              <w:spacing w:after="120"/>
              <w:rPr>
                <w:bCs/>
              </w:rPr>
            </w:pPr>
            <w:r w:rsidRPr="00DB5740">
              <w:rPr>
                <w:b/>
              </w:rPr>
              <w:t>Off-Balance Sheet Arrangements Section</w:t>
            </w:r>
          </w:p>
          <w:p w14:paraId="787A2DD9" w14:textId="77777777" w:rsidR="004C67B7" w:rsidRPr="00DB5740" w:rsidRDefault="005B5528" w:rsidP="004C67B7">
            <w:pPr>
              <w:pStyle w:val="BodyText"/>
              <w:spacing w:after="120"/>
              <w:rPr>
                <w:bCs/>
              </w:rPr>
            </w:pPr>
            <w:r w:rsidRPr="00DB5740">
              <w:rPr>
                <w:bCs/>
              </w:rPr>
              <w:t>The 2020 amendments</w:t>
            </w:r>
            <w:r w:rsidRPr="00DB5740">
              <w:rPr>
                <w:bCs/>
              </w:rPr>
              <w:t xml:space="preserve"> to Items 301, 302 and 303 eliminated the disclosure requirement for specified, separately captioned disclosure of material off-balance sheet arrangements within MD&amp;A. Instead, a broader instruction has been </w:t>
            </w:r>
            <w:r>
              <w:rPr>
                <w:bCs/>
              </w:rPr>
              <w:t>a</w:t>
            </w:r>
            <w:r w:rsidRPr="00DB5740">
              <w:rPr>
                <w:bCs/>
              </w:rPr>
              <w:t>dded requiring discussion with</w:t>
            </w:r>
            <w:r>
              <w:rPr>
                <w:bCs/>
              </w:rPr>
              <w:t>i</w:t>
            </w:r>
            <w:r w:rsidRPr="00DB5740">
              <w:rPr>
                <w:bCs/>
              </w:rPr>
              <w:t>n the existing s</w:t>
            </w:r>
            <w:r w:rsidRPr="00DB5740">
              <w:rPr>
                <w:bCs/>
              </w:rPr>
              <w:t>ections of Item 303 of off-balance sheet arrangements that have or are reasonably likely to have a material current or future effect on the company</w:t>
            </w:r>
            <w:r>
              <w:rPr>
                <w:bCs/>
              </w:rPr>
              <w:t>’</w:t>
            </w:r>
            <w:r w:rsidRPr="00DB5740">
              <w:rPr>
                <w:bCs/>
              </w:rPr>
              <w:t>s financial condition, changes in financial condition, revenues or expenses, result of operations, liquidity</w:t>
            </w:r>
            <w:r w:rsidRPr="00DB5740">
              <w:rPr>
                <w:bCs/>
              </w:rPr>
              <w:t>, cash requirements or capital resources.</w:t>
            </w:r>
          </w:p>
          <w:p w14:paraId="023DE887" w14:textId="77777777" w:rsidR="004C67B7" w:rsidRPr="00BA71D3" w:rsidRDefault="005B5528" w:rsidP="004C67B7">
            <w:pPr>
              <w:pStyle w:val="BodyText"/>
              <w:spacing w:after="120"/>
              <w:rPr>
                <w:bCs/>
                <w:i/>
                <w:iCs/>
              </w:rPr>
            </w:pPr>
            <w:r w:rsidRPr="00BA71D3">
              <w:rPr>
                <w:bCs/>
                <w:i/>
                <w:iCs/>
              </w:rPr>
              <w:t>Confirm that there is no separately-captioned “Off-Balance Sheet Arrangements” section.  If there is, confirm that the company is aware that a separately-captioned section is no longer required and has reviewed the</w:t>
            </w:r>
            <w:r w:rsidRPr="00BA71D3">
              <w:rPr>
                <w:bCs/>
                <w:i/>
                <w:iCs/>
              </w:rPr>
              <w:t xml:space="preserve"> differences between the previous prescriptive requirements and the current principles-based requirements.  While similar disclosure to that previously provided may satisfy the disclosure requirement, the separate captioned heading should be eliminated so </w:t>
            </w:r>
            <w:r w:rsidRPr="00BA71D3">
              <w:rPr>
                <w:bCs/>
                <w:i/>
                <w:iCs/>
              </w:rPr>
              <w:t>it is clear the new disclosure requirements have been complied with, and the disclosure should be reviewed for compliance with current requirements.</w:t>
            </w:r>
          </w:p>
          <w:p w14:paraId="1C0E3EEA" w14:textId="77777777" w:rsidR="004C67B7" w:rsidRPr="00DB5740" w:rsidRDefault="005B5528" w:rsidP="004C67B7">
            <w:pPr>
              <w:pStyle w:val="BodyText"/>
              <w:spacing w:after="120"/>
              <w:rPr>
                <w:bCs/>
              </w:rPr>
            </w:pPr>
            <w:r w:rsidRPr="00BA71D3">
              <w:rPr>
                <w:bCs/>
                <w:i/>
                <w:iCs/>
              </w:rPr>
              <w:t>Confirm that MD&amp;A complies with the disclosure requirements of the 2020 amendm</w:t>
            </w:r>
            <w:r>
              <w:rPr>
                <w:bCs/>
                <w:i/>
                <w:iCs/>
              </w:rPr>
              <w:t>e</w:t>
            </w:r>
            <w:r w:rsidRPr="00BA71D3">
              <w:rPr>
                <w:bCs/>
                <w:i/>
                <w:iCs/>
              </w:rPr>
              <w:t>nts.</w:t>
            </w:r>
          </w:p>
        </w:tc>
        <w:tc>
          <w:tcPr>
            <w:tcW w:w="925" w:type="pct"/>
            <w:shd w:val="clear" w:color="auto" w:fill="FFFFFF"/>
          </w:tcPr>
          <w:p w14:paraId="69904F81" w14:textId="77777777" w:rsidR="004C67B7" w:rsidRPr="00DB5740" w:rsidRDefault="004C67B7" w:rsidP="004C67B7">
            <w:pPr>
              <w:pStyle w:val="BodyText"/>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FFFFFF"/>
          </w:tcPr>
          <w:p w14:paraId="6046F70E"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80C335"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6FCD8A0A"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58E50F64"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1091C2E5"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42EE74DA" w14:textId="77777777" w:rsidR="004C67B7" w:rsidRPr="00DB5740" w:rsidRDefault="005B5528" w:rsidP="004C67B7">
            <w:pPr>
              <w:autoSpaceDE w:val="0"/>
              <w:autoSpaceDN w:val="0"/>
              <w:adjustRightInd w:val="0"/>
              <w:jc w:val="center"/>
            </w:pPr>
            <w:hyperlink r:id="rId130" w:anchor="229.303" w:history="1">
              <w:r w:rsidRPr="00DB5740">
                <w:rPr>
                  <w:rStyle w:val="Hyperlink"/>
                </w:rPr>
                <w:t>30</w:t>
              </w:r>
              <w:bookmarkStart w:id="59" w:name="_Hlt93565328"/>
              <w:r w:rsidRPr="00DB5740">
                <w:rPr>
                  <w:rStyle w:val="Hyperlink"/>
                </w:rPr>
                <w:t>3</w:t>
              </w:r>
              <w:bookmarkEnd w:id="59"/>
              <w:r w:rsidRPr="00DB5740">
                <w:rPr>
                  <w:rStyle w:val="Hyperlink"/>
                </w:rPr>
                <w:t>(</w:t>
              </w:r>
              <w:bookmarkStart w:id="60" w:name="_Hlt94001704"/>
              <w:bookmarkStart w:id="61" w:name="_Hlt94001705"/>
              <w:bookmarkEnd w:id="60"/>
              <w:bookmarkEnd w:id="61"/>
              <w:r w:rsidRPr="00DB5740">
                <w:rPr>
                  <w:rStyle w:val="Hyperlink"/>
                </w:rPr>
                <w:t>a)</w:t>
              </w:r>
            </w:hyperlink>
          </w:p>
        </w:tc>
        <w:tc>
          <w:tcPr>
            <w:tcW w:w="1907" w:type="pct"/>
            <w:shd w:val="clear" w:color="auto" w:fill="auto"/>
          </w:tcPr>
          <w:p w14:paraId="5105A8BC" w14:textId="77777777" w:rsidR="004C67B7" w:rsidRPr="00DB5740" w:rsidRDefault="005B5528" w:rsidP="004C67B7">
            <w:pPr>
              <w:pStyle w:val="BodyText"/>
              <w:spacing w:after="120"/>
              <w:rPr>
                <w:b/>
              </w:rPr>
            </w:pPr>
            <w:r w:rsidRPr="00DB5740">
              <w:rPr>
                <w:b/>
              </w:rPr>
              <w:t>Op</w:t>
            </w:r>
            <w:r>
              <w:rPr>
                <w:b/>
              </w:rPr>
              <w:t>t</w:t>
            </w:r>
            <w:r w:rsidRPr="00DB5740">
              <w:rPr>
                <w:b/>
              </w:rPr>
              <w:t>ional Two-Year Financial Discussion</w:t>
            </w:r>
          </w:p>
          <w:p w14:paraId="61271075" w14:textId="77777777" w:rsidR="004C67B7" w:rsidRPr="00DB5740" w:rsidRDefault="005B5528" w:rsidP="004C67B7">
            <w:pPr>
              <w:pStyle w:val="BodyText"/>
              <w:spacing w:after="120"/>
            </w:pPr>
            <w:r w:rsidRPr="00DB5740">
              <w:rPr>
                <w:bCs/>
              </w:rPr>
              <w:t xml:space="preserve">If the company elects to omit the discussion of the earliest year </w:t>
            </w:r>
            <w:r w:rsidRPr="00DB5740">
              <w:t>in the three-year period covered by MD&amp;A, confirm that the foll</w:t>
            </w:r>
            <w:r w:rsidRPr="00DB5740">
              <w:t>owing conditions are satisfied::</w:t>
            </w:r>
          </w:p>
          <w:p w14:paraId="32AF4261" w14:textId="77777777" w:rsidR="004C67B7" w:rsidRPr="00DB5740" w:rsidRDefault="005B5528" w:rsidP="004C67B7">
            <w:pPr>
              <w:pStyle w:val="ListBullet"/>
            </w:pPr>
            <w:r w:rsidRPr="00DB5740">
              <w:t>the omitted discussion must not be material to an understanding of the company</w:t>
            </w:r>
            <w:r>
              <w:t>’</w:t>
            </w:r>
            <w:r w:rsidRPr="00DB5740">
              <w:t>s financial condition, changes in financial condition, and results of operations;</w:t>
            </w:r>
          </w:p>
          <w:p w14:paraId="08924FF8" w14:textId="77777777" w:rsidR="004C67B7" w:rsidRPr="00DB5740" w:rsidRDefault="005B5528" w:rsidP="004C67B7">
            <w:pPr>
              <w:pStyle w:val="ListBullet"/>
            </w:pPr>
            <w:r w:rsidRPr="00DB5740">
              <w:t>the company must have included the omitted discussion in a pri</w:t>
            </w:r>
            <w:r w:rsidRPr="00DB5740">
              <w:t xml:space="preserve">or EDGAR filing; and </w:t>
            </w:r>
          </w:p>
          <w:p w14:paraId="70129091" w14:textId="77777777" w:rsidR="004C67B7" w:rsidRPr="00DB5740" w:rsidRDefault="005B5528" w:rsidP="004C67B7">
            <w:pPr>
              <w:pStyle w:val="ListBullet"/>
            </w:pPr>
            <w:r w:rsidRPr="00DB5740">
              <w:t>the company must clearly identify the location in the prior filing where the omitted discussion may be found</w:t>
            </w:r>
            <w:r>
              <w:t xml:space="preserve"> (s</w:t>
            </w:r>
            <w:r w:rsidRPr="00DB5740">
              <w:t>ee sample disclosure below</w:t>
            </w:r>
            <w:r>
              <w:t>)</w:t>
            </w:r>
            <w:r w:rsidRPr="00DB5740">
              <w:t xml:space="preserve">. </w:t>
            </w:r>
          </w:p>
          <w:p w14:paraId="134102B7" w14:textId="77777777" w:rsidR="004C67B7" w:rsidRPr="00DB5740" w:rsidRDefault="005B5528" w:rsidP="004C67B7">
            <w:pPr>
              <w:autoSpaceDE w:val="0"/>
              <w:autoSpaceDN w:val="0"/>
              <w:adjustRightInd w:val="0"/>
              <w:spacing w:after="120"/>
            </w:pPr>
            <w:r w:rsidRPr="00DB5740">
              <w:t>Instruction 1, as amended, also states that a company may use any presentation that would, in</w:t>
            </w:r>
            <w:r w:rsidRPr="00DB5740">
              <w:t xml:space="preserve"> its judgment, enhance a reader</w:t>
            </w:r>
            <w:r>
              <w:t>’</w:t>
            </w:r>
            <w:r w:rsidRPr="00DB5740">
              <w:t>s understanding.  The amendments also deleted the reference to five-year selected financial data for trend information in Instruction 1, but other existing requirements continue to require trend disclosure in MD&amp;A.</w:t>
            </w:r>
          </w:p>
          <w:p w14:paraId="4011D9A8" w14:textId="77777777" w:rsidR="004C67B7" w:rsidRPr="00DB5740" w:rsidRDefault="005B5528" w:rsidP="004C67B7">
            <w:pPr>
              <w:autoSpaceDE w:val="0"/>
              <w:autoSpaceDN w:val="0"/>
              <w:adjustRightInd w:val="0"/>
              <w:spacing w:after="120"/>
            </w:pPr>
            <w:r w:rsidRPr="00DB5740">
              <w:rPr>
                <w:b/>
              </w:rPr>
              <w:t xml:space="preserve">Emerging </w:t>
            </w:r>
            <w:r w:rsidRPr="00DB5740">
              <w:rPr>
                <w:b/>
              </w:rPr>
              <w:t xml:space="preserve">Growth Companies and Smaller Reporting Companies.  </w:t>
            </w:r>
            <w:r w:rsidRPr="00DB5740">
              <w:t>The conditions in Instruction 1 do not apply to SRCs, which have been able to elect to limit financial disclosures to a two-year period, or emerging growth companies (EGCs) if the EGC provides two years of</w:t>
            </w:r>
            <w:r w:rsidRPr="00DB5740">
              <w:t xml:space="preserve"> audited financial statements in the Securities Act registration statement for its initial public offering.</w:t>
            </w:r>
          </w:p>
        </w:tc>
        <w:tc>
          <w:tcPr>
            <w:tcW w:w="925" w:type="pct"/>
            <w:shd w:val="clear" w:color="auto" w:fill="auto"/>
          </w:tcPr>
          <w:p w14:paraId="07D7DE32" w14:textId="77777777" w:rsidR="004C67B7" w:rsidRPr="00DB5740" w:rsidRDefault="005B5528" w:rsidP="004C67B7">
            <w:pPr>
              <w:pStyle w:val="BodyText"/>
              <w:spacing w:after="120"/>
            </w:pPr>
            <w:r w:rsidRPr="00DB5740">
              <w:t>Regulation S-K Item 303(a), Instruction 1</w:t>
            </w:r>
          </w:p>
          <w:p w14:paraId="7F73E7AC" w14:textId="77777777" w:rsidR="004C67B7" w:rsidRPr="00DB5740" w:rsidRDefault="005B5528" w:rsidP="004C67B7">
            <w:pPr>
              <w:pStyle w:val="BodyText"/>
              <w:spacing w:after="120"/>
              <w:rPr>
                <w:rStyle w:val="Hyperlink"/>
              </w:rPr>
            </w:pPr>
            <w:hyperlink r:id="rId131" w:history="1">
              <w:r w:rsidRPr="00DB5740">
                <w:rPr>
                  <w:rStyle w:val="Hyperlink"/>
                </w:rPr>
                <w:t>SEC Release No. 33-1</w:t>
              </w:r>
              <w:bookmarkStart w:id="62" w:name="_Hlt94001719"/>
              <w:bookmarkStart w:id="63" w:name="_Hlt94001720"/>
              <w:bookmarkEnd w:id="62"/>
              <w:bookmarkEnd w:id="63"/>
              <w:r w:rsidRPr="00DB5740">
                <w:rPr>
                  <w:rStyle w:val="Hyperlink"/>
                </w:rPr>
                <w:t>0618</w:t>
              </w:r>
            </w:hyperlink>
          </w:p>
          <w:p w14:paraId="1C8BA494" w14:textId="77777777" w:rsidR="004C67B7" w:rsidRPr="00DB5740" w:rsidRDefault="005B5528" w:rsidP="004C67B7">
            <w:pPr>
              <w:pStyle w:val="BodyText"/>
              <w:spacing w:after="120"/>
            </w:pPr>
            <w:hyperlink r:id="rId132" w:anchor="110.02" w:history="1">
              <w:r>
                <w:rPr>
                  <w:rStyle w:val="Hyperlink"/>
                </w:rPr>
                <w:t>SEC Staff C&amp;DIs on Instruction 1 t</w:t>
              </w:r>
              <w:bookmarkStart w:id="64" w:name="_Hlt94001808"/>
              <w:bookmarkStart w:id="65" w:name="_Hlt94001809"/>
              <w:bookmarkEnd w:id="64"/>
              <w:bookmarkEnd w:id="65"/>
              <w:r>
                <w:rPr>
                  <w:rStyle w:val="Hyperlink"/>
                </w:rPr>
                <w:t>o Item 303(a)</w:t>
              </w:r>
            </w:hyperlink>
          </w:p>
          <w:p w14:paraId="3435753E" w14:textId="77777777" w:rsidR="004C67B7" w:rsidRPr="00DB5740" w:rsidRDefault="005B5528" w:rsidP="004C67B7">
            <w:pPr>
              <w:pStyle w:val="BodyText"/>
              <w:spacing w:after="120"/>
            </w:pPr>
            <w:hyperlink r:id="rId133" w:history="1">
              <w:r w:rsidRPr="00DB5740">
                <w:rPr>
                  <w:rStyle w:val="Hyperlink"/>
                </w:rPr>
                <w:t>Disclosure Simplificati</w:t>
              </w:r>
              <w:r w:rsidRPr="00DB5740">
                <w:rPr>
                  <w:rStyle w:val="Hyperlink"/>
                </w:rPr>
                <w:t>on, Round Two</w:t>
              </w:r>
              <w:bookmarkStart w:id="66" w:name="_Hlt94001792"/>
              <w:bookmarkEnd w:id="66"/>
              <w:r w:rsidRPr="00DB5740">
                <w:rPr>
                  <w:rStyle w:val="Hyperlink"/>
                </w:rPr>
                <w:t>: A Deep Dive Into The SEC</w:t>
              </w:r>
              <w:r>
                <w:rPr>
                  <w:rStyle w:val="Hyperlink"/>
                </w:rPr>
                <w:t>’</w:t>
              </w:r>
              <w:r w:rsidRPr="00DB5740">
                <w:rPr>
                  <w:rStyle w:val="Hyperlink"/>
                </w:rPr>
                <w:t>s New Amendments</w:t>
              </w:r>
            </w:hyperlink>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01DF9D33"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E608D"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28EAF5D1" w14:textId="77777777" w:rsidR="004C67B7" w:rsidRPr="00DB5740" w:rsidRDefault="005B5528" w:rsidP="004C67B7">
            <w:pPr>
              <w:autoSpaceDE w:val="0"/>
              <w:autoSpaceDN w:val="0"/>
              <w:adjustRightInd w:val="0"/>
              <w:jc w:val="center"/>
              <w:rPr>
                <w:b/>
                <w:i/>
                <w:color w:val="FF0000"/>
              </w:rPr>
            </w:pPr>
            <w:r w:rsidRPr="00DB5740">
              <w:t xml:space="preserve">No  </w:t>
            </w:r>
            <w:r w:rsidRPr="00DB5740">
              <w:rPr>
                <w:rFonts w:ascii="Segoe UI Symbol" w:eastAsia="MS Gothic" w:hAnsi="Segoe UI Symbol" w:cs="Segoe UI Symbol"/>
              </w:rPr>
              <w:t>☐</w:t>
            </w:r>
          </w:p>
        </w:tc>
      </w:tr>
      <w:tr w:rsidR="00000000" w14:paraId="63747604"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668C5F92"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323B41A0" w14:textId="77777777" w:rsidR="004C67B7" w:rsidRPr="00DB5740" w:rsidRDefault="004C67B7" w:rsidP="004C67B7">
            <w:pPr>
              <w:autoSpaceDE w:val="0"/>
              <w:autoSpaceDN w:val="0"/>
              <w:adjustRightInd w:val="0"/>
              <w:jc w:val="center"/>
            </w:pPr>
          </w:p>
        </w:tc>
        <w:tc>
          <w:tcPr>
            <w:tcW w:w="1907" w:type="pct"/>
            <w:shd w:val="clear" w:color="auto" w:fill="auto"/>
          </w:tcPr>
          <w:p w14:paraId="26516BF2" w14:textId="77777777" w:rsidR="004C67B7" w:rsidRPr="00DB5740" w:rsidRDefault="005B5528" w:rsidP="004C67B7">
            <w:pPr>
              <w:pStyle w:val="BodyText"/>
              <w:spacing w:after="120"/>
              <w:rPr>
                <w:b/>
                <w:bCs/>
              </w:rPr>
            </w:pPr>
            <w:r w:rsidRPr="00DB5740">
              <w:rPr>
                <w:b/>
                <w:bCs/>
              </w:rPr>
              <w:t>Sample Disclosure</w:t>
            </w:r>
          </w:p>
          <w:p w14:paraId="1CA6EE12" w14:textId="77777777" w:rsidR="004C67B7" w:rsidRPr="00DB5740" w:rsidRDefault="005B5528" w:rsidP="004C67B7">
            <w:pPr>
              <w:pStyle w:val="BodyText"/>
              <w:spacing w:after="120"/>
            </w:pPr>
            <w:r w:rsidRPr="00DB5740">
              <w:t>Regulation S-K Item 303(a), Instruction 1 does not require any specific form of reference if a company chooses to omit the third year financial discussion, nor does</w:t>
            </w:r>
            <w:r w:rsidRPr="00DB5740">
              <w:t xml:space="preserve"> it require any specific location for this disclosure.  Incorporation by reference and hyperlinking are not required.  The following sample disclosure would satisfy the requirements of Instruction 1 in most cases and could be located in a headnote at the b</w:t>
            </w:r>
            <w:r w:rsidRPr="00DB5740">
              <w:t xml:space="preserve">eginning of MD&amp;A. </w:t>
            </w:r>
          </w:p>
          <w:p w14:paraId="4B07E322" w14:textId="77777777" w:rsidR="004C67B7" w:rsidRPr="00DB5740" w:rsidRDefault="005B5528" w:rsidP="004C67B7">
            <w:pPr>
              <w:pStyle w:val="BodyText"/>
              <w:spacing w:after="120"/>
              <w:ind w:left="421"/>
              <w:rPr>
                <w:b/>
              </w:rPr>
            </w:pPr>
            <w:r w:rsidRPr="00DB5740">
              <w:t>Information pertaining to fiscal year [20</w:t>
            </w:r>
            <w:r>
              <w:t>20</w:t>
            </w:r>
            <w:r w:rsidRPr="00DB5740">
              <w:t>] was included in the Company</w:t>
            </w:r>
            <w:r>
              <w:t>’</w:t>
            </w:r>
            <w:r w:rsidRPr="00DB5740">
              <w:t xml:space="preserve">s Annual Report on Form </w:t>
            </w:r>
            <w:r>
              <w:t>10</w:t>
            </w:r>
            <w:r>
              <w:noBreakHyphen/>
              <w:t>K</w:t>
            </w:r>
            <w:r w:rsidRPr="00DB5740">
              <w:t xml:space="preserve"> for the year ended December 31, [20</w:t>
            </w:r>
            <w:r>
              <w:t>20</w:t>
            </w:r>
            <w:r w:rsidRPr="00DB5740">
              <w:t xml:space="preserve">] [on page __] under Part II, Item 7, </w:t>
            </w:r>
            <w:r>
              <w:t>“</w:t>
            </w:r>
            <w:r w:rsidRPr="00DB5740">
              <w:t>Management</w:t>
            </w:r>
            <w:r>
              <w:t>’</w:t>
            </w:r>
            <w:r w:rsidRPr="00DB5740">
              <w:t xml:space="preserve">s Discussion and Analysis of Financial Position </w:t>
            </w:r>
            <w:r w:rsidRPr="00DB5740">
              <w:t>and Results of Operations,</w:t>
            </w:r>
            <w:r>
              <w:t>”</w:t>
            </w:r>
            <w:r w:rsidRPr="00DB5740">
              <w:t xml:space="preserve"> which was filed with the SEC [on ____________, 20</w:t>
            </w:r>
            <w:r>
              <w:t>21</w:t>
            </w:r>
            <w:r w:rsidRPr="00DB5740">
              <w:t xml:space="preserve">]. </w:t>
            </w:r>
          </w:p>
        </w:tc>
        <w:tc>
          <w:tcPr>
            <w:tcW w:w="925" w:type="pct"/>
            <w:shd w:val="clear" w:color="auto" w:fill="auto"/>
          </w:tcPr>
          <w:p w14:paraId="08A16AD8" w14:textId="77777777" w:rsidR="004C67B7" w:rsidRPr="00DB5740" w:rsidRDefault="004C67B7" w:rsidP="004C67B7">
            <w:pPr>
              <w:pStyle w:val="BodyText"/>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338C8BA1"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56AF1" w14:textId="77777777" w:rsidR="004C67B7" w:rsidRPr="00DB5740" w:rsidRDefault="004C67B7" w:rsidP="004C67B7">
            <w:pPr>
              <w:jc w:val="center"/>
            </w:pPr>
          </w:p>
        </w:tc>
      </w:tr>
      <w:tr w:rsidR="00000000" w14:paraId="5FE40BBB"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05E068D3"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D221350" w14:textId="77777777" w:rsidR="004C67B7" w:rsidRPr="00DB5740" w:rsidRDefault="004C67B7" w:rsidP="004C67B7">
            <w:pPr>
              <w:autoSpaceDE w:val="0"/>
              <w:autoSpaceDN w:val="0"/>
              <w:adjustRightInd w:val="0"/>
              <w:jc w:val="center"/>
            </w:pPr>
          </w:p>
        </w:tc>
        <w:tc>
          <w:tcPr>
            <w:tcW w:w="1907" w:type="pct"/>
            <w:shd w:val="clear" w:color="auto" w:fill="auto"/>
          </w:tcPr>
          <w:p w14:paraId="6F4BA16D" w14:textId="77777777" w:rsidR="004C67B7" w:rsidRPr="00DB5740" w:rsidRDefault="005B5528" w:rsidP="004C67B7">
            <w:pPr>
              <w:spacing w:after="120"/>
              <w:rPr>
                <w:b/>
              </w:rPr>
            </w:pPr>
            <w:r w:rsidRPr="00DB5740">
              <w:rPr>
                <w:b/>
              </w:rPr>
              <w:t>Incorporation by Reference – Important Note</w:t>
            </w:r>
          </w:p>
          <w:p w14:paraId="437CC9BC" w14:textId="77777777" w:rsidR="004C67B7" w:rsidRPr="00DB5740" w:rsidRDefault="005B5528" w:rsidP="004C67B7">
            <w:pPr>
              <w:spacing w:after="120"/>
              <w:rPr>
                <w:b/>
              </w:rPr>
            </w:pPr>
            <w:r w:rsidRPr="00DB5740">
              <w:rPr>
                <w:b/>
              </w:rPr>
              <w:t>SEC Staff C&amp;DIs on Omission of Third Year Financial Discussion</w:t>
            </w:r>
          </w:p>
          <w:p w14:paraId="255403F2" w14:textId="77777777" w:rsidR="004C67B7" w:rsidRPr="00DB5740" w:rsidRDefault="005B5528" w:rsidP="004C67B7">
            <w:pPr>
              <w:spacing w:after="120"/>
            </w:pPr>
            <w:r w:rsidRPr="00DB5740">
              <w:t>On January 24, 2020, the staff of the Division of Corporatio</w:t>
            </w:r>
            <w:r w:rsidRPr="00DB5740">
              <w:t>n Finance published three compliance and disclosure interpretations.  The C</w:t>
            </w:r>
            <w:r>
              <w:t>&amp;</w:t>
            </w:r>
            <w:r w:rsidRPr="00DB5740">
              <w:t>DIs state that:</w:t>
            </w:r>
          </w:p>
          <w:p w14:paraId="23281BCE" w14:textId="77777777" w:rsidR="004C67B7" w:rsidRPr="00DB5740" w:rsidRDefault="005B5528" w:rsidP="004C67B7">
            <w:pPr>
              <w:numPr>
                <w:ilvl w:val="0"/>
                <w:numId w:val="12"/>
              </w:numPr>
              <w:spacing w:after="120"/>
              <w:ind w:left="421"/>
            </w:pPr>
            <w:r w:rsidRPr="00DB5740">
              <w:t xml:space="preserve">a statement identifying the location of the omitted third year financial discussion does not incorporate the omitted discussion into the current year Form </w:t>
            </w:r>
            <w:r>
              <w:t>10</w:t>
            </w:r>
            <w:r>
              <w:noBreakHyphen/>
              <w:t>K</w:t>
            </w:r>
            <w:r w:rsidRPr="00DB5740">
              <w:t xml:space="preserve"> (Que</w:t>
            </w:r>
            <w:r w:rsidRPr="00DB5740">
              <w:t>stion 110.02)</w:t>
            </w:r>
          </w:p>
          <w:p w14:paraId="54BF6CDA" w14:textId="77777777" w:rsidR="004C67B7" w:rsidRDefault="005B5528" w:rsidP="004C67B7">
            <w:pPr>
              <w:numPr>
                <w:ilvl w:val="0"/>
                <w:numId w:val="12"/>
              </w:numPr>
              <w:spacing w:after="120"/>
              <w:ind w:left="421"/>
            </w:pPr>
            <w:r w:rsidRPr="00DB5740">
              <w:t>a company may not omit a discussion of the earliest of three years from its cur</w:t>
            </w:r>
            <w:r>
              <w:t>r</w:t>
            </w:r>
            <w:r w:rsidRPr="00DB5740">
              <w:t>ent MD&amp;A if it believes a discussion of that year is necessary (Question 110.03)</w:t>
            </w:r>
          </w:p>
          <w:p w14:paraId="4EBFB7D1" w14:textId="77777777" w:rsidR="004C67B7" w:rsidRPr="00A653BF" w:rsidRDefault="005B5528" w:rsidP="004C67B7">
            <w:pPr>
              <w:numPr>
                <w:ilvl w:val="0"/>
                <w:numId w:val="12"/>
              </w:numPr>
              <w:spacing w:after="120"/>
              <w:ind w:left="421"/>
            </w:pPr>
            <w:r>
              <w:t>i</w:t>
            </w:r>
            <w:r w:rsidRPr="00A653BF">
              <w:t>f a</w:t>
            </w:r>
            <w:r>
              <w:t xml:space="preserve"> </w:t>
            </w:r>
            <w:r w:rsidRPr="00A653BF">
              <w:t>company omits the third year financial discussion from its current year Form</w:t>
            </w:r>
            <w:r w:rsidRPr="00A653BF">
              <w:t xml:space="preserve"> 10</w:t>
            </w:r>
            <w:r w:rsidRPr="00A653BF">
              <w:noBreakHyphen/>
              <w:t>K report and that 10</w:t>
            </w:r>
            <w:r w:rsidRPr="00A653BF">
              <w:noBreakHyphen/>
              <w:t xml:space="preserve">K report is incorporated by reference into an effective Form S-3 registration statement, </w:t>
            </w:r>
            <w:r w:rsidRPr="00A653BF">
              <w:rPr>
                <w:b/>
                <w:bCs/>
              </w:rPr>
              <w:t xml:space="preserve">the omitted third year financial discussion will not be incorporated by reference into the Form S-3 unless the company expressly incorporates </w:t>
            </w:r>
            <w:r w:rsidRPr="00A653BF">
              <w:rPr>
                <w:b/>
                <w:bCs/>
              </w:rPr>
              <w:t>the discussion by reference</w:t>
            </w:r>
            <w:r w:rsidRPr="00A653BF">
              <w:t xml:space="preserve"> (Question 110.04)</w:t>
            </w:r>
          </w:p>
        </w:tc>
        <w:tc>
          <w:tcPr>
            <w:tcW w:w="925" w:type="pct"/>
            <w:shd w:val="clear" w:color="auto" w:fill="auto"/>
          </w:tcPr>
          <w:p w14:paraId="2BFBB7DA" w14:textId="77777777" w:rsidR="004C67B7" w:rsidRPr="00DB5740" w:rsidRDefault="004C67B7" w:rsidP="004C67B7">
            <w:pPr>
              <w:pStyle w:val="BodyText"/>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72C8E163"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B7FD7" w14:textId="77777777" w:rsidR="004C67B7" w:rsidRPr="00DB5740" w:rsidRDefault="004C67B7" w:rsidP="004C67B7">
            <w:pPr>
              <w:jc w:val="center"/>
            </w:pPr>
          </w:p>
        </w:tc>
      </w:tr>
      <w:tr w:rsidR="00000000" w14:paraId="53A8915D"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4AA300B7" w14:textId="77777777" w:rsidR="004C67B7" w:rsidRPr="00DB5740" w:rsidRDefault="004C67B7" w:rsidP="004C67B7">
            <w:pPr>
              <w:autoSpaceDE w:val="0"/>
              <w:autoSpaceDN w:val="0"/>
              <w:adjustRightInd w:val="0"/>
              <w:rPr>
                <w:b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6A5F4904" w14:textId="77777777" w:rsidR="004C67B7" w:rsidRPr="00DB5740" w:rsidRDefault="004C67B7" w:rsidP="004C67B7">
            <w:pPr>
              <w:autoSpaceDE w:val="0"/>
              <w:autoSpaceDN w:val="0"/>
              <w:adjustRightInd w:val="0"/>
              <w:jc w:val="center"/>
            </w:pPr>
          </w:p>
        </w:tc>
        <w:tc>
          <w:tcPr>
            <w:tcW w:w="1907" w:type="pct"/>
            <w:shd w:val="clear" w:color="auto" w:fill="auto"/>
          </w:tcPr>
          <w:p w14:paraId="648104CE" w14:textId="77777777" w:rsidR="004C67B7" w:rsidRPr="00DB5740" w:rsidRDefault="005B5528" w:rsidP="004C67B7">
            <w:pPr>
              <w:pStyle w:val="BodyText"/>
              <w:spacing w:after="120"/>
              <w:rPr>
                <w:b/>
              </w:rPr>
            </w:pPr>
            <w:r w:rsidRPr="00DB5740">
              <w:rPr>
                <w:b/>
              </w:rPr>
              <w:t>Geographic Areas</w:t>
            </w:r>
          </w:p>
          <w:p w14:paraId="44A23152" w14:textId="77777777" w:rsidR="004C67B7" w:rsidRPr="00DB5740" w:rsidRDefault="005B5528" w:rsidP="004C67B7">
            <w:pPr>
              <w:pStyle w:val="BodyText"/>
              <w:spacing w:after="120"/>
              <w:rPr>
                <w:bCs/>
              </w:rPr>
            </w:pPr>
            <w:r w:rsidRPr="00DB5740">
              <w:rPr>
                <w:bCs/>
              </w:rPr>
              <w:t xml:space="preserve">Item 303(a) of Regulation S-K includes an express reference to </w:t>
            </w:r>
            <w:r>
              <w:rPr>
                <w:bCs/>
              </w:rPr>
              <w:t>“</w:t>
            </w:r>
            <w:r w:rsidRPr="00DB5740">
              <w:rPr>
                <w:bCs/>
              </w:rPr>
              <w:t>geographic areas</w:t>
            </w:r>
            <w:r>
              <w:rPr>
                <w:bCs/>
              </w:rPr>
              <w:t>”</w:t>
            </w:r>
            <w:r w:rsidRPr="00DB5740">
              <w:rPr>
                <w:bCs/>
              </w:rPr>
              <w:t xml:space="preserve"> as part of the requirement to discuss elements of the company</w:t>
            </w:r>
            <w:r>
              <w:rPr>
                <w:bCs/>
              </w:rPr>
              <w:t>’</w:t>
            </w:r>
            <w:r w:rsidRPr="00DB5740">
              <w:rPr>
                <w:bCs/>
              </w:rPr>
              <w:t>s income that are not indicative of its ong</w:t>
            </w:r>
            <w:r w:rsidRPr="00DB5740">
              <w:rPr>
                <w:bCs/>
              </w:rPr>
              <w:t xml:space="preserve">oing business. </w:t>
            </w:r>
          </w:p>
          <w:p w14:paraId="1D4AF281" w14:textId="77777777" w:rsidR="004C67B7" w:rsidRPr="00DB5740" w:rsidRDefault="004C67B7" w:rsidP="004C67B7">
            <w:pPr>
              <w:pStyle w:val="BodyText"/>
              <w:spacing w:after="120"/>
              <w:rPr>
                <w:bCs/>
              </w:rPr>
            </w:pPr>
          </w:p>
        </w:tc>
        <w:tc>
          <w:tcPr>
            <w:tcW w:w="925" w:type="pct"/>
            <w:shd w:val="clear" w:color="auto" w:fill="auto"/>
          </w:tcPr>
          <w:p w14:paraId="5F45FEED" w14:textId="77777777" w:rsidR="004C67B7" w:rsidRPr="00DB5740" w:rsidRDefault="005B5528" w:rsidP="004C67B7">
            <w:pPr>
              <w:pStyle w:val="BodyText"/>
              <w:spacing w:after="120"/>
            </w:pPr>
            <w:r w:rsidRPr="00DB5740">
              <w:rPr>
                <w:bCs/>
              </w:rPr>
              <w:t xml:space="preserve">The SEC indicated in the </w:t>
            </w:r>
            <w:hyperlink r:id="rId134" w:history="1">
              <w:r w:rsidRPr="00DB5740">
                <w:rPr>
                  <w:rStyle w:val="Hyperlink"/>
                  <w:bCs/>
                </w:rPr>
                <w:t xml:space="preserve">adopting </w:t>
              </w:r>
              <w:bookmarkStart w:id="67" w:name="_Hlt94001833"/>
              <w:bookmarkStart w:id="68" w:name="_Hlt94001834"/>
              <w:bookmarkEnd w:id="67"/>
              <w:bookmarkEnd w:id="68"/>
              <w:r w:rsidRPr="00DB5740">
                <w:rPr>
                  <w:rStyle w:val="Hyperlink"/>
                  <w:bCs/>
                </w:rPr>
                <w:t>release</w:t>
              </w:r>
            </w:hyperlink>
            <w:r w:rsidRPr="00DB5740">
              <w:rPr>
                <w:bCs/>
              </w:rPr>
              <w:t xml:space="preserve"> for the 2020 amendments that it does not intend the reference to </w:t>
            </w:r>
            <w:r>
              <w:rPr>
                <w:bCs/>
              </w:rPr>
              <w:t>“</w:t>
            </w:r>
            <w:r w:rsidRPr="00DB5740">
              <w:rPr>
                <w:bCs/>
              </w:rPr>
              <w:t>geographic areas</w:t>
            </w:r>
            <w:r>
              <w:rPr>
                <w:bCs/>
              </w:rPr>
              <w:t>”</w:t>
            </w:r>
            <w:r w:rsidRPr="00DB5740">
              <w:rPr>
                <w:bCs/>
              </w:rPr>
              <w:t xml:space="preserve"> to create a disclosure requirement for compani</w:t>
            </w:r>
            <w:r w:rsidRPr="00DB5740">
              <w:rPr>
                <w:bCs/>
              </w:rPr>
              <w:t xml:space="preserve">es </w:t>
            </w:r>
            <w:r>
              <w:rPr>
                <w:bCs/>
              </w:rPr>
              <w:t>“</w:t>
            </w:r>
            <w:r w:rsidRPr="00DB5740">
              <w:rPr>
                <w:bCs/>
              </w:rPr>
              <w:t>in all circumstances.</w:t>
            </w:r>
            <w:r>
              <w:rPr>
                <w:bCs/>
              </w:rPr>
              <w:t>”</w:t>
            </w:r>
            <w:r w:rsidRPr="00DB5740">
              <w:rPr>
                <w:bCs/>
              </w:rPr>
              <w:t xml:space="preserve">  MD&amp;A disclosure about geographic areas is not required unless management believes that discussion of income from geographical areas would be appropriate for an understanding of a company</w:t>
            </w:r>
            <w:r>
              <w:rPr>
                <w:bCs/>
              </w:rPr>
              <w:t>’</w:t>
            </w:r>
            <w:r w:rsidRPr="00DB5740">
              <w:rPr>
                <w:bCs/>
              </w:rPr>
              <w:t>s business.</w:t>
            </w: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1B51AF8E" w14:textId="77777777" w:rsidR="004C67B7" w:rsidRPr="00DB5740" w:rsidRDefault="004C67B7" w:rsidP="004C67B7">
            <w:pPr>
              <w:autoSpaceDE w:val="0"/>
              <w:autoSpaceDN w:val="0"/>
              <w:adjustRightInd w:val="0"/>
              <w:rPr>
                <w:bCs/>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88BD1" w14:textId="77777777" w:rsidR="004C67B7" w:rsidRPr="00DB5740" w:rsidRDefault="004C67B7" w:rsidP="004C67B7">
            <w:pPr>
              <w:jc w:val="center"/>
            </w:pPr>
          </w:p>
        </w:tc>
      </w:tr>
      <w:tr w:rsidR="00000000" w14:paraId="5E4A8425"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04DD7EB8" w14:textId="77777777" w:rsidR="004C67B7" w:rsidRPr="00DB5740" w:rsidRDefault="004C67B7" w:rsidP="004C67B7">
            <w:pPr>
              <w:autoSpaceDE w:val="0"/>
              <w:autoSpaceDN w:val="0"/>
              <w:adjustRightInd w:val="0"/>
              <w:rPr>
                <w:b/>
                <w:i/>
                <w:color w:val="FF0000"/>
                <w:u w:val="single"/>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40531BD4" w14:textId="77777777" w:rsidR="004C67B7" w:rsidRPr="00DB5740" w:rsidRDefault="005B5528" w:rsidP="004C67B7">
            <w:pPr>
              <w:autoSpaceDE w:val="0"/>
              <w:autoSpaceDN w:val="0"/>
              <w:adjustRightInd w:val="0"/>
              <w:jc w:val="center"/>
            </w:pPr>
            <w:hyperlink r:id="rId135" w:anchor="229.303" w:history="1">
              <w:r w:rsidRPr="00DB5740">
                <w:rPr>
                  <w:rStyle w:val="Hyperlink"/>
                </w:rPr>
                <w:t>303(</w:t>
              </w:r>
              <w:bookmarkStart w:id="69" w:name="_Hlt94001852"/>
              <w:bookmarkEnd w:id="69"/>
              <w:r w:rsidRPr="00DB5740">
                <w:rPr>
                  <w:rStyle w:val="Hyperlink"/>
                </w:rPr>
                <w:t>b)</w:t>
              </w:r>
            </w:hyperlink>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4F5F7CB1" w14:textId="77777777" w:rsidR="004C67B7" w:rsidRPr="00DB5740" w:rsidRDefault="005B5528" w:rsidP="004C67B7">
            <w:pPr>
              <w:autoSpaceDE w:val="0"/>
              <w:autoSpaceDN w:val="0"/>
              <w:adjustRightInd w:val="0"/>
              <w:spacing w:after="120"/>
              <w:rPr>
                <w:b/>
                <w:iCs/>
                <w:szCs w:val="24"/>
              </w:rPr>
            </w:pPr>
            <w:r w:rsidRPr="00DB5740">
              <w:rPr>
                <w:b/>
                <w:iCs/>
                <w:szCs w:val="24"/>
              </w:rPr>
              <w:t>Seasonality</w:t>
            </w:r>
          </w:p>
          <w:p w14:paraId="1D3F62A0" w14:textId="77777777" w:rsidR="004C67B7" w:rsidRPr="00DB5740" w:rsidRDefault="005B5528" w:rsidP="004C67B7">
            <w:pPr>
              <w:autoSpaceDE w:val="0"/>
              <w:autoSpaceDN w:val="0"/>
              <w:adjustRightInd w:val="0"/>
              <w:spacing w:after="120"/>
              <w:rPr>
                <w:b/>
                <w:i/>
                <w:szCs w:val="24"/>
              </w:rPr>
            </w:pPr>
            <w:r w:rsidRPr="00DB5740">
              <w:rPr>
                <w:szCs w:val="24"/>
              </w:rPr>
              <w:t>Instruction 5 to Item 303(b) has been deleted.  (</w:t>
            </w:r>
            <w:r>
              <w:rPr>
                <w:szCs w:val="24"/>
              </w:rPr>
              <w:t>“</w:t>
            </w:r>
            <w:r w:rsidRPr="00DB5740">
              <w:rPr>
                <w:szCs w:val="24"/>
              </w:rPr>
              <w:t xml:space="preserve">The registrant shall discuss any seasonal aspects of its business </w:t>
            </w:r>
            <w:r>
              <w:rPr>
                <w:szCs w:val="24"/>
              </w:rPr>
              <w:t>w</w:t>
            </w:r>
            <w:r w:rsidRPr="00DB5740">
              <w:rPr>
                <w:szCs w:val="24"/>
              </w:rPr>
              <w:t xml:space="preserve">hich have had a </w:t>
            </w:r>
            <w:r>
              <w:rPr>
                <w:szCs w:val="24"/>
              </w:rPr>
              <w:t>m</w:t>
            </w:r>
            <w:r w:rsidRPr="00DB5740">
              <w:rPr>
                <w:szCs w:val="24"/>
              </w:rPr>
              <w:t>aterial effect upon its financial condit</w:t>
            </w:r>
            <w:r w:rsidRPr="00DB5740">
              <w:rPr>
                <w:szCs w:val="24"/>
              </w:rPr>
              <w:t>ion or results of operation</w:t>
            </w:r>
            <w:r>
              <w:rPr>
                <w:szCs w:val="24"/>
              </w:rPr>
              <w:t>s</w:t>
            </w:r>
            <w:r w:rsidRPr="00DB5740">
              <w:rPr>
                <w:szCs w:val="24"/>
              </w:rPr>
              <w:t>.</w:t>
            </w:r>
            <w:r>
              <w:rPr>
                <w:szCs w:val="24"/>
              </w:rPr>
              <w:t>”</w:t>
            </w:r>
            <w:r w:rsidRPr="00DB5740">
              <w:rPr>
                <w:szCs w:val="24"/>
              </w:rPr>
              <w:t>)</w:t>
            </w:r>
          </w:p>
          <w:p w14:paraId="23B7632D" w14:textId="77777777" w:rsidR="004C67B7" w:rsidRPr="00DB5740" w:rsidRDefault="005B5528" w:rsidP="004C67B7">
            <w:pPr>
              <w:autoSpaceDE w:val="0"/>
              <w:autoSpaceDN w:val="0"/>
              <w:adjustRightInd w:val="0"/>
              <w:spacing w:after="120"/>
              <w:rPr>
                <w:b/>
                <w:bCs/>
              </w:rPr>
            </w:pPr>
            <w:r w:rsidRPr="00DB5740">
              <w:rPr>
                <w:b/>
                <w:bCs/>
                <w:szCs w:val="24"/>
              </w:rPr>
              <w:t>Note that other disclosure requirements, such as trend disclosure in MD&amp;A, may require disclosure of seasonal impacts on the company</w:t>
            </w:r>
            <w:r>
              <w:rPr>
                <w:b/>
                <w:bCs/>
                <w:szCs w:val="24"/>
              </w:rPr>
              <w:t>’</w:t>
            </w:r>
            <w:r w:rsidRPr="00DB5740">
              <w:rPr>
                <w:b/>
                <w:bCs/>
                <w:szCs w:val="24"/>
              </w:rPr>
              <w:t>s business and financial</w:t>
            </w:r>
            <w:r w:rsidRPr="00DB5740">
              <w:rPr>
                <w:b/>
                <w:bCs/>
              </w:rPr>
              <w:t xml:space="preserve"> c</w:t>
            </w:r>
            <w:r>
              <w:rPr>
                <w:b/>
                <w:bCs/>
              </w:rPr>
              <w:t>o</w:t>
            </w:r>
            <w:r w:rsidRPr="00DB5740">
              <w:rPr>
                <w:b/>
                <w:bCs/>
              </w:rPr>
              <w:t>ndition and/or r</w:t>
            </w:r>
            <w:r>
              <w:rPr>
                <w:b/>
                <w:bCs/>
              </w:rPr>
              <w:t>e</w:t>
            </w:r>
            <w:r w:rsidRPr="00DB5740">
              <w:rPr>
                <w:b/>
                <w:bCs/>
              </w:rPr>
              <w:t>sults of operations.  Item 101(c)(1)(v) require</w:t>
            </w:r>
            <w:r w:rsidRPr="00DB5740">
              <w:rPr>
                <w:b/>
                <w:bCs/>
              </w:rPr>
              <w:t>s s</w:t>
            </w:r>
            <w:r>
              <w:rPr>
                <w:b/>
                <w:bCs/>
              </w:rPr>
              <w:t>e</w:t>
            </w:r>
            <w:r w:rsidRPr="00DB5740">
              <w:rPr>
                <w:b/>
                <w:bCs/>
              </w:rPr>
              <w:t xml:space="preserve">asonality disclosure </w:t>
            </w:r>
            <w:r>
              <w:rPr>
                <w:b/>
                <w:bCs/>
              </w:rPr>
              <w:t xml:space="preserve">in </w:t>
            </w:r>
            <w:r w:rsidRPr="00DB5740">
              <w:rPr>
                <w:b/>
                <w:bCs/>
              </w:rPr>
              <w:t>Item 1, Business.</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4D648106" w14:textId="77777777" w:rsidR="004C67B7" w:rsidRPr="00DB5740" w:rsidRDefault="004C67B7" w:rsidP="004C67B7">
            <w:pPr>
              <w:autoSpaceDE w:val="0"/>
              <w:autoSpaceDN w:val="0"/>
              <w:adjustRightInd w:val="0"/>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23B6AE8E" w14:textId="77777777" w:rsidR="004C67B7" w:rsidRPr="00DB5740" w:rsidRDefault="004C67B7" w:rsidP="004C67B7">
            <w:pPr>
              <w:autoSpaceDE w:val="0"/>
              <w:autoSpaceDN w:val="0"/>
              <w:adjustRightInd w:val="0"/>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33C3A"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3E3A5137" w14:textId="77777777" w:rsidR="004C67B7" w:rsidRPr="00DB5740" w:rsidRDefault="005B5528" w:rsidP="004C67B7">
            <w:pPr>
              <w:autoSpaceDE w:val="0"/>
              <w:autoSpaceDN w:val="0"/>
              <w:adjustRightInd w:val="0"/>
              <w:jc w:val="center"/>
              <w:rPr>
                <w:b/>
                <w:i/>
              </w:rPr>
            </w:pPr>
            <w:r w:rsidRPr="00DB5740">
              <w:t xml:space="preserve">No  </w:t>
            </w:r>
            <w:r w:rsidRPr="00DB5740">
              <w:rPr>
                <w:rFonts w:ascii="Segoe UI Symbol" w:eastAsia="MS Gothic" w:hAnsi="Segoe UI Symbol" w:cs="Segoe UI Symbol"/>
              </w:rPr>
              <w:t>☐</w:t>
            </w:r>
          </w:p>
        </w:tc>
      </w:tr>
      <w:tr w:rsidR="00000000" w14:paraId="4D7243AD" w14:textId="77777777" w:rsidTr="00BF4090">
        <w:trPr>
          <w:cantSplit/>
          <w:jc w:val="center"/>
        </w:trPr>
        <w:tc>
          <w:tcPr>
            <w:tcW w:w="685" w:type="pct"/>
            <w:tcBorders>
              <w:left w:val="single" w:sz="4" w:space="0" w:color="auto"/>
              <w:bottom w:val="single" w:sz="4" w:space="0" w:color="auto"/>
            </w:tcBorders>
          </w:tcPr>
          <w:p w14:paraId="6BBC5F1F" w14:textId="77777777" w:rsidR="004C67B7" w:rsidRPr="00DB5740" w:rsidRDefault="004C67B7" w:rsidP="004C67B7">
            <w:pPr>
              <w:autoSpaceDE w:val="0"/>
              <w:autoSpaceDN w:val="0"/>
              <w:adjustRightInd w:val="0"/>
              <w:rPr>
                <w:bCs/>
              </w:rPr>
            </w:pPr>
          </w:p>
        </w:tc>
        <w:tc>
          <w:tcPr>
            <w:tcW w:w="584" w:type="pct"/>
            <w:tcBorders>
              <w:bottom w:val="single" w:sz="4" w:space="0" w:color="auto"/>
            </w:tcBorders>
          </w:tcPr>
          <w:p w14:paraId="349A26BE" w14:textId="77777777" w:rsidR="004C67B7" w:rsidRPr="00DB5740" w:rsidRDefault="004C67B7" w:rsidP="004C67B7">
            <w:pPr>
              <w:autoSpaceDE w:val="0"/>
              <w:autoSpaceDN w:val="0"/>
              <w:adjustRightInd w:val="0"/>
              <w:jc w:val="center"/>
            </w:pPr>
          </w:p>
        </w:tc>
        <w:tc>
          <w:tcPr>
            <w:tcW w:w="1907" w:type="pct"/>
            <w:tcBorders>
              <w:bottom w:val="single" w:sz="4" w:space="0" w:color="auto"/>
            </w:tcBorders>
          </w:tcPr>
          <w:p w14:paraId="18CD11E1" w14:textId="77777777" w:rsidR="004C67B7" w:rsidRPr="00DB5740" w:rsidRDefault="005B5528" w:rsidP="004C67B7">
            <w:pPr>
              <w:autoSpaceDE w:val="0"/>
              <w:autoSpaceDN w:val="0"/>
              <w:adjustRightInd w:val="0"/>
              <w:spacing w:after="120"/>
            </w:pPr>
            <w:r w:rsidRPr="00DB5740">
              <w:rPr>
                <w:b/>
              </w:rPr>
              <w:t>Real Estate Investment Trusts – Updated Federal Income Tax Consequences Disclosure</w:t>
            </w:r>
          </w:p>
          <w:p w14:paraId="0E33A9D3" w14:textId="77777777" w:rsidR="004C67B7" w:rsidRPr="00DB5740" w:rsidRDefault="005B5528" w:rsidP="004C67B7">
            <w:pPr>
              <w:autoSpaceDE w:val="0"/>
              <w:autoSpaceDN w:val="0"/>
              <w:adjustRightInd w:val="0"/>
              <w:spacing w:after="120"/>
            </w:pPr>
            <w:r w:rsidRPr="00DB5740">
              <w:t>Confirm with the company</w:t>
            </w:r>
            <w:r>
              <w:t>’</w:t>
            </w:r>
            <w:r w:rsidRPr="00DB5740">
              <w:t>s tax counsel that no updates to federal income tax disclosure contained in the compa</w:t>
            </w:r>
            <w:r w:rsidRPr="00DB5740">
              <w:t>ny</w:t>
            </w:r>
            <w:r>
              <w:t>’</w:t>
            </w:r>
            <w:r w:rsidRPr="00DB5740">
              <w:t>s currently effective Form S-3 or other regist</w:t>
            </w:r>
            <w:r>
              <w:t>r</w:t>
            </w:r>
            <w:r w:rsidRPr="00DB5740">
              <w:t>ation statements are necessary.</w:t>
            </w:r>
          </w:p>
          <w:p w14:paraId="6F06C942" w14:textId="77777777" w:rsidR="004C67B7" w:rsidRPr="00DB5740" w:rsidRDefault="005B5528" w:rsidP="004C67B7">
            <w:pPr>
              <w:autoSpaceDE w:val="0"/>
              <w:autoSpaceDN w:val="0"/>
              <w:adjustRightInd w:val="0"/>
              <w:spacing w:after="120"/>
              <w:rPr>
                <w:b/>
                <w:iCs/>
                <w:szCs w:val="24"/>
              </w:rPr>
            </w:pPr>
            <w:r w:rsidRPr="00DB5740">
              <w:t xml:space="preserve">If updated disclosure is required, confirm that the required updates will be included in the Form </w:t>
            </w:r>
            <w:r>
              <w:t>10</w:t>
            </w:r>
            <w:r>
              <w:noBreakHyphen/>
              <w:t>K</w:t>
            </w:r>
            <w:r w:rsidRPr="00DB5740">
              <w:t xml:space="preserve"> (typically at the </w:t>
            </w:r>
            <w:r>
              <w:t>e</w:t>
            </w:r>
            <w:r w:rsidRPr="00DB5740">
              <w:t>nd of MD&amp;A).</w:t>
            </w:r>
          </w:p>
        </w:tc>
        <w:tc>
          <w:tcPr>
            <w:tcW w:w="925" w:type="pct"/>
            <w:tcBorders>
              <w:bottom w:val="single" w:sz="4" w:space="0" w:color="auto"/>
            </w:tcBorders>
          </w:tcPr>
          <w:p w14:paraId="7263DF5C" w14:textId="77777777" w:rsidR="004C67B7" w:rsidRPr="00DB5740" w:rsidRDefault="004C67B7" w:rsidP="004C67B7">
            <w:pPr>
              <w:autoSpaceDE w:val="0"/>
              <w:autoSpaceDN w:val="0"/>
              <w:adjustRightInd w:val="0"/>
              <w:spacing w:after="120"/>
            </w:pPr>
          </w:p>
        </w:tc>
        <w:tc>
          <w:tcPr>
            <w:tcW w:w="585" w:type="pct"/>
            <w:tcBorders>
              <w:bottom w:val="single" w:sz="4" w:space="0" w:color="auto"/>
              <w:right w:val="single" w:sz="4" w:space="0" w:color="auto"/>
            </w:tcBorders>
          </w:tcPr>
          <w:p w14:paraId="7C7CCC52" w14:textId="77777777" w:rsidR="004C67B7" w:rsidRPr="00DB5740" w:rsidRDefault="004C67B7" w:rsidP="004C67B7">
            <w:pPr>
              <w:autoSpaceDE w:val="0"/>
              <w:autoSpaceDN w:val="0"/>
              <w:adjustRightInd w:val="0"/>
            </w:pPr>
          </w:p>
        </w:tc>
        <w:tc>
          <w:tcPr>
            <w:tcW w:w="314" w:type="pct"/>
            <w:gridSpan w:val="2"/>
            <w:tcBorders>
              <w:left w:val="single" w:sz="4" w:space="0" w:color="auto"/>
              <w:bottom w:val="single" w:sz="4" w:space="0" w:color="auto"/>
              <w:right w:val="single" w:sz="4" w:space="0" w:color="auto"/>
            </w:tcBorders>
            <w:vAlign w:val="center"/>
          </w:tcPr>
          <w:p w14:paraId="5AB76863"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492C8EE2"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0E44AB96" w14:textId="77777777" w:rsidTr="00BF4090">
        <w:trPr>
          <w:cantSplit/>
          <w:jc w:val="center"/>
        </w:trPr>
        <w:tc>
          <w:tcPr>
            <w:tcW w:w="685" w:type="pct"/>
            <w:tcBorders>
              <w:left w:val="single" w:sz="4" w:space="0" w:color="auto"/>
              <w:bottom w:val="single" w:sz="4" w:space="0" w:color="auto"/>
            </w:tcBorders>
          </w:tcPr>
          <w:p w14:paraId="339B19F1" w14:textId="77777777" w:rsidR="004C67B7" w:rsidRPr="00DB5740" w:rsidRDefault="004C67B7" w:rsidP="004C67B7">
            <w:pPr>
              <w:autoSpaceDE w:val="0"/>
              <w:autoSpaceDN w:val="0"/>
              <w:adjustRightInd w:val="0"/>
              <w:rPr>
                <w:bCs/>
              </w:rPr>
            </w:pPr>
          </w:p>
        </w:tc>
        <w:tc>
          <w:tcPr>
            <w:tcW w:w="584" w:type="pct"/>
            <w:tcBorders>
              <w:bottom w:val="single" w:sz="4" w:space="0" w:color="auto"/>
            </w:tcBorders>
          </w:tcPr>
          <w:p w14:paraId="603F0113" w14:textId="77777777" w:rsidR="004C67B7" w:rsidRPr="00DB5740" w:rsidRDefault="004C67B7" w:rsidP="004C67B7">
            <w:pPr>
              <w:autoSpaceDE w:val="0"/>
              <w:autoSpaceDN w:val="0"/>
              <w:adjustRightInd w:val="0"/>
              <w:jc w:val="center"/>
            </w:pPr>
          </w:p>
        </w:tc>
        <w:tc>
          <w:tcPr>
            <w:tcW w:w="1907" w:type="pct"/>
            <w:tcBorders>
              <w:bottom w:val="single" w:sz="4" w:space="0" w:color="auto"/>
            </w:tcBorders>
          </w:tcPr>
          <w:p w14:paraId="6C191D87" w14:textId="77777777" w:rsidR="004C67B7" w:rsidRPr="00DB5740" w:rsidRDefault="005B5528" w:rsidP="004C67B7">
            <w:pPr>
              <w:autoSpaceDE w:val="0"/>
              <w:autoSpaceDN w:val="0"/>
              <w:adjustRightInd w:val="0"/>
              <w:spacing w:after="120"/>
              <w:rPr>
                <w:b/>
                <w:bCs/>
              </w:rPr>
            </w:pPr>
            <w:r w:rsidRPr="00DB5740">
              <w:rPr>
                <w:b/>
                <w:bCs/>
              </w:rPr>
              <w:t>Inflation</w:t>
            </w:r>
          </w:p>
          <w:p w14:paraId="1A8EA5E7" w14:textId="77777777" w:rsidR="004C67B7" w:rsidRPr="00DB5740" w:rsidRDefault="005B5528" w:rsidP="004C67B7">
            <w:pPr>
              <w:autoSpaceDE w:val="0"/>
              <w:autoSpaceDN w:val="0"/>
              <w:adjustRightInd w:val="0"/>
              <w:spacing w:after="120"/>
              <w:rPr>
                <w:bCs/>
              </w:rPr>
            </w:pPr>
            <w:r w:rsidRPr="00DB5740">
              <w:rPr>
                <w:bCs/>
              </w:rPr>
              <w:t>The 2020 ame</w:t>
            </w:r>
            <w:r w:rsidRPr="00DB5740">
              <w:rPr>
                <w:bCs/>
              </w:rPr>
              <w:t xml:space="preserve">ndments eliminate the specific disclosure requirement for the effects of inflation and the boilerplate disclosure that most companies provided in response. </w:t>
            </w:r>
          </w:p>
          <w:p w14:paraId="6D7F4B15" w14:textId="77777777" w:rsidR="004C67B7" w:rsidRPr="00DB5740" w:rsidRDefault="005B5528" w:rsidP="004C67B7">
            <w:pPr>
              <w:autoSpaceDE w:val="0"/>
              <w:autoSpaceDN w:val="0"/>
              <w:adjustRightInd w:val="0"/>
              <w:spacing w:after="120"/>
              <w:rPr>
                <w:bCs/>
              </w:rPr>
            </w:pPr>
            <w:r w:rsidRPr="00DB5740">
              <w:rPr>
                <w:bCs/>
              </w:rPr>
              <w:t>This does not affect the requirement to discuss the impact of inflation and changing prices if thes</w:t>
            </w:r>
            <w:r w:rsidRPr="00DB5740">
              <w:rPr>
                <w:bCs/>
              </w:rPr>
              <w:t>e are the reason for material changes in the company</w:t>
            </w:r>
            <w:r>
              <w:rPr>
                <w:bCs/>
              </w:rPr>
              <w:t>’</w:t>
            </w:r>
            <w:r w:rsidRPr="00DB5740">
              <w:rPr>
                <w:bCs/>
              </w:rPr>
              <w:t xml:space="preserve">s results of operations or if they are part of a known trend or uncertainty that the company reasonably expects could have a material impact on its financial condition or results of operations in future </w:t>
            </w:r>
            <w:r w:rsidRPr="00DB5740">
              <w:rPr>
                <w:bCs/>
              </w:rPr>
              <w:t>periods.</w:t>
            </w:r>
          </w:p>
          <w:p w14:paraId="47705F5D" w14:textId="77777777" w:rsidR="004C67B7" w:rsidRPr="00DB5740" w:rsidRDefault="005B5528" w:rsidP="004C67B7">
            <w:pPr>
              <w:autoSpaceDE w:val="0"/>
              <w:autoSpaceDN w:val="0"/>
              <w:adjustRightInd w:val="0"/>
              <w:spacing w:after="120"/>
              <w:rPr>
                <w:bCs/>
              </w:rPr>
            </w:pPr>
            <w:r w:rsidRPr="00A44985">
              <w:rPr>
                <w:b/>
              </w:rPr>
              <w:t>2022 Note:</w:t>
            </w:r>
            <w:r w:rsidRPr="00A44985">
              <w:rPr>
                <w:bCs/>
              </w:rPr>
              <w:t xml:space="preserve"> Although varying in different sectors of the domestic economy, inflation is currently at levels not experienced in decades.</w:t>
            </w:r>
            <w:r>
              <w:rPr>
                <w:bCs/>
              </w:rPr>
              <w:t xml:space="preserve">  Consider whether disclosure may be necessary or advisable in light of the requirements summarized in the preced</w:t>
            </w:r>
            <w:r>
              <w:rPr>
                <w:bCs/>
              </w:rPr>
              <w:t>ing paragraph.</w:t>
            </w:r>
            <w:r w:rsidRPr="00DB5740">
              <w:rPr>
                <w:bCs/>
              </w:rPr>
              <w:t xml:space="preserve">  </w:t>
            </w:r>
          </w:p>
          <w:p w14:paraId="3D073AA4" w14:textId="77777777" w:rsidR="004C67B7" w:rsidRPr="00DB5740" w:rsidRDefault="005B5528" w:rsidP="004C67B7">
            <w:pPr>
              <w:autoSpaceDE w:val="0"/>
              <w:autoSpaceDN w:val="0"/>
              <w:adjustRightInd w:val="0"/>
              <w:spacing w:after="120"/>
              <w:rPr>
                <w:bCs/>
              </w:rPr>
            </w:pPr>
            <w:r w:rsidRPr="00DB5740">
              <w:rPr>
                <w:bCs/>
              </w:rPr>
              <w:t>Confirm that any material effects that result or would be reasonably likely to result from inflation or changing prices are disclosed as a material trend or uncertainty.  If MD&amp;A does not include any discussion of the impacts of inflation,</w:t>
            </w:r>
            <w:r w:rsidRPr="00DB5740">
              <w:rPr>
                <w:bCs/>
              </w:rPr>
              <w:t xml:space="preserve"> confirm that the company has reviewed inflation impacts, including disclosure of inflation as a trend or uncertainty, and made a reasonable determination that these are or will be immaterial.</w:t>
            </w:r>
          </w:p>
        </w:tc>
        <w:tc>
          <w:tcPr>
            <w:tcW w:w="925" w:type="pct"/>
            <w:tcBorders>
              <w:bottom w:val="single" w:sz="4" w:space="0" w:color="auto"/>
            </w:tcBorders>
          </w:tcPr>
          <w:p w14:paraId="596186D5" w14:textId="77777777" w:rsidR="004C67B7" w:rsidRPr="00DB5740" w:rsidRDefault="004C67B7" w:rsidP="004C67B7">
            <w:pPr>
              <w:autoSpaceDE w:val="0"/>
              <w:autoSpaceDN w:val="0"/>
              <w:adjustRightInd w:val="0"/>
              <w:spacing w:after="120"/>
            </w:pPr>
          </w:p>
        </w:tc>
        <w:tc>
          <w:tcPr>
            <w:tcW w:w="585" w:type="pct"/>
            <w:tcBorders>
              <w:bottom w:val="single" w:sz="4" w:space="0" w:color="auto"/>
              <w:right w:val="single" w:sz="4" w:space="0" w:color="auto"/>
            </w:tcBorders>
          </w:tcPr>
          <w:p w14:paraId="0D7E90BE" w14:textId="77777777" w:rsidR="004C67B7" w:rsidRPr="00DB5740" w:rsidRDefault="004C67B7" w:rsidP="004C67B7">
            <w:pPr>
              <w:autoSpaceDE w:val="0"/>
              <w:autoSpaceDN w:val="0"/>
              <w:adjustRightInd w:val="0"/>
            </w:pPr>
          </w:p>
        </w:tc>
        <w:tc>
          <w:tcPr>
            <w:tcW w:w="314" w:type="pct"/>
            <w:gridSpan w:val="2"/>
            <w:tcBorders>
              <w:left w:val="single" w:sz="4" w:space="0" w:color="auto"/>
              <w:bottom w:val="single" w:sz="4" w:space="0" w:color="auto"/>
              <w:right w:val="single" w:sz="4" w:space="0" w:color="auto"/>
            </w:tcBorders>
            <w:vAlign w:val="center"/>
          </w:tcPr>
          <w:p w14:paraId="4B838A10"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105454C4"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2D7CB8FD" w14:textId="77777777" w:rsidTr="00DB5740">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7B775ECC" w14:textId="77777777" w:rsidR="004C67B7" w:rsidRPr="00DB5740" w:rsidRDefault="005B5528" w:rsidP="004C67B7">
            <w:pPr>
              <w:keepNext/>
              <w:keepLines/>
              <w:spacing w:after="120"/>
              <w:rPr>
                <w:b/>
                <w:bCs/>
              </w:rPr>
            </w:pPr>
            <w:r w:rsidRPr="00DB5740">
              <w:rPr>
                <w:b/>
                <w:bCs/>
              </w:rPr>
              <w:lastRenderedPageBreak/>
              <w:t>Item 7A.  Quantitative and Qualitative Disclosur</w:t>
            </w:r>
            <w:r w:rsidRPr="00DB5740">
              <w:rPr>
                <w:b/>
                <w:bCs/>
              </w:rPr>
              <w:t>es About Market Risk</w:t>
            </w:r>
          </w:p>
        </w:tc>
      </w:tr>
      <w:tr w:rsidR="00000000" w14:paraId="680CF4B4" w14:textId="77777777" w:rsidTr="00BF4090">
        <w:trPr>
          <w:cantSplit/>
          <w:jc w:val="center"/>
        </w:trPr>
        <w:tc>
          <w:tcPr>
            <w:tcW w:w="685" w:type="pct"/>
            <w:tcBorders>
              <w:top w:val="single" w:sz="4" w:space="0" w:color="auto"/>
              <w:left w:val="single" w:sz="4" w:space="0" w:color="auto"/>
              <w:right w:val="single" w:sz="4" w:space="0" w:color="auto"/>
            </w:tcBorders>
          </w:tcPr>
          <w:p w14:paraId="24D18593" w14:textId="77777777" w:rsidR="004C67B7" w:rsidRPr="00DB5740" w:rsidRDefault="005B5528" w:rsidP="004C67B7">
            <w:r w:rsidRPr="00DB5740">
              <w:rPr>
                <w:bCs/>
              </w:rPr>
              <w:t>Item 7A. Quantitative and Qualitative Disclosure</w:t>
            </w:r>
            <w:r>
              <w:rPr>
                <w:bCs/>
              </w:rPr>
              <w:t>s</w:t>
            </w:r>
            <w:r w:rsidRPr="00DB5740">
              <w:rPr>
                <w:bCs/>
              </w:rPr>
              <w:t xml:space="preserve"> About Market Risk</w:t>
            </w:r>
          </w:p>
          <w:p w14:paraId="14FE0CB5" w14:textId="77777777" w:rsidR="004C67B7" w:rsidRPr="00DB5740" w:rsidRDefault="004C67B7" w:rsidP="004C67B7"/>
        </w:tc>
        <w:tc>
          <w:tcPr>
            <w:tcW w:w="584" w:type="pct"/>
            <w:tcBorders>
              <w:top w:val="single" w:sz="4" w:space="0" w:color="auto"/>
              <w:left w:val="single" w:sz="4" w:space="0" w:color="auto"/>
              <w:right w:val="single" w:sz="4" w:space="0" w:color="auto"/>
            </w:tcBorders>
          </w:tcPr>
          <w:p w14:paraId="713A26FC" w14:textId="77777777" w:rsidR="004C67B7" w:rsidRPr="00DB5740" w:rsidRDefault="005B5528" w:rsidP="004C67B7">
            <w:pPr>
              <w:jc w:val="center"/>
            </w:pPr>
            <w:hyperlink r:id="rId136" w:anchor="229.305" w:history="1">
              <w:r w:rsidRPr="00DB5740">
                <w:rPr>
                  <w:rStyle w:val="Hyperlink"/>
                </w:rPr>
                <w:t>305(</w:t>
              </w:r>
              <w:bookmarkStart w:id="70" w:name="_Hlt94001868"/>
              <w:bookmarkStart w:id="71" w:name="_Hlt94001869"/>
              <w:bookmarkEnd w:id="70"/>
              <w:bookmarkEnd w:id="71"/>
              <w:r w:rsidRPr="00DB5740">
                <w:rPr>
                  <w:rStyle w:val="Hyperlink"/>
                </w:rPr>
                <w:t>a)</w:t>
              </w:r>
            </w:hyperlink>
          </w:p>
        </w:tc>
        <w:tc>
          <w:tcPr>
            <w:tcW w:w="1907" w:type="pct"/>
            <w:tcBorders>
              <w:top w:val="single" w:sz="4" w:space="0" w:color="auto"/>
              <w:left w:val="single" w:sz="4" w:space="0" w:color="auto"/>
              <w:right w:val="single" w:sz="4" w:space="0" w:color="auto"/>
            </w:tcBorders>
          </w:tcPr>
          <w:p w14:paraId="5EF68A54" w14:textId="77777777" w:rsidR="004C67B7" w:rsidRPr="00DB5740" w:rsidRDefault="005B5528" w:rsidP="004C67B7">
            <w:pPr>
              <w:keepNext/>
              <w:keepLines/>
              <w:spacing w:after="120"/>
              <w:rPr>
                <w:bCs/>
              </w:rPr>
            </w:pPr>
            <w:r w:rsidRPr="00DB5740">
              <w:rPr>
                <w:b/>
              </w:rPr>
              <w:t>Quantitative Information about Market Risk</w:t>
            </w:r>
          </w:p>
          <w:p w14:paraId="3325B13A" w14:textId="77777777" w:rsidR="004C67B7" w:rsidRPr="00DB5740" w:rsidRDefault="005B5528" w:rsidP="004C67B7">
            <w:pPr>
              <w:keepNext/>
              <w:keepLines/>
              <w:spacing w:after="120"/>
            </w:pPr>
            <w:r w:rsidRPr="00DB5740">
              <w:rPr>
                <w:bCs/>
              </w:rPr>
              <w:t>Provide quantitative inform</w:t>
            </w:r>
            <w:r w:rsidRPr="00DB5740">
              <w:rPr>
                <w:bCs/>
              </w:rPr>
              <w:t xml:space="preserve">ation about market risk as of the end of the latest fiscal year using one of the three alternatives in Item 305(a) for each of </w:t>
            </w:r>
            <w:r>
              <w:rPr>
                <w:bCs/>
              </w:rPr>
              <w:t xml:space="preserve">the </w:t>
            </w:r>
            <w:r w:rsidRPr="00DB5740">
              <w:rPr>
                <w:bCs/>
              </w:rPr>
              <w:t>instruments entered into for trading purposes and instruments entered into for purposes other than trading purposes.</w:t>
            </w:r>
          </w:p>
        </w:tc>
        <w:tc>
          <w:tcPr>
            <w:tcW w:w="925" w:type="pct"/>
            <w:tcBorders>
              <w:top w:val="single" w:sz="4" w:space="0" w:color="auto"/>
              <w:left w:val="single" w:sz="4" w:space="0" w:color="auto"/>
              <w:right w:val="single" w:sz="4" w:space="0" w:color="auto"/>
            </w:tcBorders>
          </w:tcPr>
          <w:p w14:paraId="480CC973" w14:textId="77777777" w:rsidR="004C67B7" w:rsidRPr="00DB5740" w:rsidRDefault="004C67B7" w:rsidP="004C67B7">
            <w:pPr>
              <w:spacing w:after="120"/>
            </w:pPr>
          </w:p>
        </w:tc>
        <w:tc>
          <w:tcPr>
            <w:tcW w:w="585" w:type="pct"/>
            <w:tcBorders>
              <w:top w:val="single" w:sz="4" w:space="0" w:color="auto"/>
              <w:left w:val="single" w:sz="4" w:space="0" w:color="auto"/>
              <w:right w:val="single" w:sz="4" w:space="0" w:color="auto"/>
            </w:tcBorders>
          </w:tcPr>
          <w:p w14:paraId="2D991047" w14:textId="77777777" w:rsidR="004C67B7" w:rsidRPr="00DB5740" w:rsidRDefault="004C67B7" w:rsidP="004C67B7"/>
        </w:tc>
        <w:tc>
          <w:tcPr>
            <w:tcW w:w="314" w:type="pct"/>
            <w:gridSpan w:val="2"/>
            <w:tcBorders>
              <w:top w:val="single" w:sz="4" w:space="0" w:color="auto"/>
              <w:left w:val="single" w:sz="4" w:space="0" w:color="auto"/>
              <w:right w:val="single" w:sz="4" w:space="0" w:color="auto"/>
            </w:tcBorders>
            <w:vAlign w:val="center"/>
          </w:tcPr>
          <w:p w14:paraId="641242EA"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2B9E0405"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57351599"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541482C5" w14:textId="77777777" w:rsidR="004C67B7" w:rsidRPr="00DB5740" w:rsidRDefault="004C67B7" w:rsidP="004C67B7">
            <w:pPr>
              <w:rPr>
                <w:bCs/>
              </w:rPr>
            </w:pPr>
          </w:p>
        </w:tc>
        <w:tc>
          <w:tcPr>
            <w:tcW w:w="584" w:type="pct"/>
            <w:tcBorders>
              <w:top w:val="single" w:sz="4" w:space="0" w:color="auto"/>
              <w:left w:val="single" w:sz="4" w:space="0" w:color="auto"/>
              <w:bottom w:val="single" w:sz="4" w:space="0" w:color="auto"/>
              <w:right w:val="single" w:sz="4" w:space="0" w:color="auto"/>
            </w:tcBorders>
          </w:tcPr>
          <w:p w14:paraId="31E99031" w14:textId="77777777" w:rsidR="004C67B7" w:rsidRPr="00DB5740" w:rsidRDefault="005B5528" w:rsidP="004C67B7">
            <w:pPr>
              <w:jc w:val="center"/>
            </w:pPr>
            <w:hyperlink r:id="rId137" w:anchor="229.305" w:history="1">
              <w:r w:rsidRPr="00DB5740">
                <w:rPr>
                  <w:rStyle w:val="Hyperlink"/>
                </w:rPr>
                <w:t>305</w:t>
              </w:r>
              <w:bookmarkStart w:id="72" w:name="_Hlt94001876"/>
              <w:bookmarkStart w:id="73" w:name="_Hlt94001877"/>
              <w:bookmarkEnd w:id="72"/>
              <w:bookmarkEnd w:id="73"/>
              <w:r w:rsidRPr="00DB5740">
                <w:rPr>
                  <w:rStyle w:val="Hyperlink"/>
                </w:rPr>
                <w:t>(b)</w:t>
              </w:r>
            </w:hyperlink>
          </w:p>
        </w:tc>
        <w:tc>
          <w:tcPr>
            <w:tcW w:w="1907" w:type="pct"/>
            <w:tcBorders>
              <w:top w:val="single" w:sz="4" w:space="0" w:color="auto"/>
              <w:left w:val="single" w:sz="4" w:space="0" w:color="auto"/>
              <w:bottom w:val="single" w:sz="4" w:space="0" w:color="auto"/>
              <w:right w:val="single" w:sz="4" w:space="0" w:color="auto"/>
            </w:tcBorders>
          </w:tcPr>
          <w:p w14:paraId="684D6C5C" w14:textId="77777777" w:rsidR="004C67B7" w:rsidRPr="00DB5740" w:rsidRDefault="005B5528" w:rsidP="004C67B7">
            <w:pPr>
              <w:spacing w:after="120"/>
            </w:pPr>
            <w:r w:rsidRPr="00DB5740">
              <w:rPr>
                <w:b/>
                <w:bCs/>
              </w:rPr>
              <w:t>Qualitative Information about Market Risk</w:t>
            </w:r>
          </w:p>
          <w:p w14:paraId="7D42E6FA" w14:textId="77777777" w:rsidR="004C67B7" w:rsidRPr="00DB5740" w:rsidRDefault="005B5528" w:rsidP="004C67B7">
            <w:pPr>
              <w:spacing w:after="120"/>
            </w:pPr>
            <w:r w:rsidRPr="00DB5740">
              <w:t>Describe the company</w:t>
            </w:r>
            <w:r>
              <w:t>’s</w:t>
            </w:r>
            <w:r w:rsidRPr="00DB5740">
              <w:t xml:space="preserve"> primary market risk exposures, how the company manages these exposures, and changes in m</w:t>
            </w:r>
            <w:r w:rsidRPr="00DB5740">
              <w:t>arket risk exposure and/or management, to the extent material, compared to the most recently completed fiscal year and/or what the company knows or expects will be in effect for future periods.</w:t>
            </w:r>
          </w:p>
        </w:tc>
        <w:tc>
          <w:tcPr>
            <w:tcW w:w="925" w:type="pct"/>
            <w:tcBorders>
              <w:top w:val="single" w:sz="4" w:space="0" w:color="auto"/>
              <w:left w:val="single" w:sz="4" w:space="0" w:color="auto"/>
              <w:bottom w:val="single" w:sz="4" w:space="0" w:color="auto"/>
              <w:right w:val="single" w:sz="4" w:space="0" w:color="auto"/>
            </w:tcBorders>
          </w:tcPr>
          <w:p w14:paraId="0AA3F1B2" w14:textId="77777777" w:rsidR="004C67B7" w:rsidRPr="00DB5740"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tcPr>
          <w:p w14:paraId="4E7BEA4B" w14:textId="77777777" w:rsidR="004C67B7" w:rsidRPr="00DB5740" w:rsidRDefault="004C67B7" w:rsidP="004C67B7"/>
        </w:tc>
        <w:tc>
          <w:tcPr>
            <w:tcW w:w="314" w:type="pct"/>
            <w:gridSpan w:val="2"/>
            <w:tcBorders>
              <w:top w:val="single" w:sz="4" w:space="0" w:color="auto"/>
              <w:left w:val="single" w:sz="4" w:space="0" w:color="auto"/>
              <w:bottom w:val="single" w:sz="4" w:space="0" w:color="auto"/>
              <w:right w:val="single" w:sz="4" w:space="0" w:color="auto"/>
            </w:tcBorders>
            <w:vAlign w:val="center"/>
          </w:tcPr>
          <w:p w14:paraId="02D814AB"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369D9A4C"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1EF97930" w14:textId="77777777" w:rsidTr="00DB5740">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2A8A8412" w14:textId="77777777" w:rsidR="004C67B7" w:rsidRPr="00DB5740" w:rsidRDefault="005B5528" w:rsidP="004C67B7">
            <w:pPr>
              <w:keepNext/>
              <w:keepLines/>
              <w:spacing w:after="120"/>
              <w:rPr>
                <w:b/>
                <w:bCs/>
              </w:rPr>
            </w:pPr>
            <w:r w:rsidRPr="00DB5740">
              <w:rPr>
                <w:b/>
                <w:bCs/>
              </w:rPr>
              <w:t>Item 8.  Financial Statements and Supplementary</w:t>
            </w:r>
            <w:r w:rsidRPr="00DB5740">
              <w:rPr>
                <w:b/>
                <w:bCs/>
              </w:rPr>
              <w:t xml:space="preserve"> Data</w:t>
            </w:r>
          </w:p>
        </w:tc>
      </w:tr>
      <w:tr w:rsidR="00000000" w14:paraId="5F30CC81"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63AAE753" w14:textId="77777777" w:rsidR="004C67B7" w:rsidRPr="00DB5740" w:rsidRDefault="005B5528" w:rsidP="004C67B7">
            <w:r w:rsidRPr="00DB5740">
              <w:rPr>
                <w:bCs/>
              </w:rPr>
              <w:t>Item 8. Financial Statements and Supplementary Data</w:t>
            </w:r>
          </w:p>
          <w:p w14:paraId="2E794088" w14:textId="77777777" w:rsidR="004C67B7" w:rsidRPr="00DB5740" w:rsidRDefault="004C67B7" w:rsidP="004C67B7"/>
        </w:tc>
        <w:tc>
          <w:tcPr>
            <w:tcW w:w="584" w:type="pct"/>
            <w:tcBorders>
              <w:top w:val="single" w:sz="4" w:space="0" w:color="auto"/>
              <w:left w:val="single" w:sz="4" w:space="0" w:color="auto"/>
              <w:bottom w:val="single" w:sz="4" w:space="0" w:color="auto"/>
              <w:right w:val="single" w:sz="4" w:space="0" w:color="auto"/>
            </w:tcBorders>
          </w:tcPr>
          <w:p w14:paraId="7CAD7207" w14:textId="77777777" w:rsidR="004C67B7" w:rsidRPr="00DB5740" w:rsidRDefault="005B5528" w:rsidP="004C67B7">
            <w:r w:rsidRPr="00DB5740">
              <w:t>Regulation S-X Rule 10-01</w:t>
            </w:r>
          </w:p>
          <w:p w14:paraId="24FC6178" w14:textId="77777777" w:rsidR="004C67B7" w:rsidRPr="00DB5740" w:rsidRDefault="004C67B7" w:rsidP="004C67B7">
            <w:pPr>
              <w:jc w:val="center"/>
            </w:pPr>
          </w:p>
          <w:p w14:paraId="0133F3DE" w14:textId="77777777" w:rsidR="004C67B7" w:rsidRPr="00DB5740" w:rsidRDefault="004C67B7" w:rsidP="004C67B7">
            <w:pPr>
              <w:jc w:val="center"/>
            </w:pPr>
          </w:p>
        </w:tc>
        <w:tc>
          <w:tcPr>
            <w:tcW w:w="1907" w:type="pct"/>
            <w:tcBorders>
              <w:top w:val="single" w:sz="4" w:space="0" w:color="auto"/>
              <w:left w:val="single" w:sz="4" w:space="0" w:color="auto"/>
              <w:bottom w:val="single" w:sz="4" w:space="0" w:color="auto"/>
              <w:right w:val="single" w:sz="4" w:space="0" w:color="auto"/>
            </w:tcBorders>
          </w:tcPr>
          <w:p w14:paraId="411F32C3" w14:textId="77777777" w:rsidR="004C67B7" w:rsidRPr="00DB5740" w:rsidRDefault="005B5528" w:rsidP="004C67B7">
            <w:pPr>
              <w:keepNext/>
              <w:keepLines/>
              <w:spacing w:after="120"/>
              <w:rPr>
                <w:szCs w:val="24"/>
              </w:rPr>
            </w:pPr>
            <w:r w:rsidRPr="00DB5740">
              <w:t xml:space="preserve">The company </w:t>
            </w:r>
            <w:r w:rsidRPr="00DB5740">
              <w:rPr>
                <w:szCs w:val="24"/>
              </w:rPr>
              <w:t>must file:</w:t>
            </w:r>
          </w:p>
          <w:p w14:paraId="64EB35A3" w14:textId="77777777" w:rsidR="004C67B7" w:rsidRPr="00DB5740" w:rsidRDefault="005B5528" w:rsidP="004C67B7">
            <w:pPr>
              <w:pStyle w:val="ListBullet"/>
            </w:pPr>
            <w:r w:rsidRPr="00DB5740">
              <w:t>financial statements, including financial statement footnotes, required by Regulation S-X; and</w:t>
            </w:r>
          </w:p>
          <w:p w14:paraId="2E758881" w14:textId="77777777" w:rsidR="004C67B7" w:rsidRPr="00DB5740" w:rsidRDefault="005B5528" w:rsidP="004C67B7">
            <w:pPr>
              <w:pStyle w:val="ListBullet"/>
            </w:pPr>
            <w:r w:rsidRPr="00DB5740">
              <w:t>the supplementary financial information required b</w:t>
            </w:r>
            <w:r w:rsidRPr="00DB5740">
              <w:t>y Item 302 of Regulation S-K.</w:t>
            </w:r>
          </w:p>
          <w:p w14:paraId="6E0291FB" w14:textId="77777777" w:rsidR="004C67B7" w:rsidRPr="00DB5740" w:rsidRDefault="005B5528" w:rsidP="004C67B7">
            <w:pPr>
              <w:keepNext/>
              <w:keepLines/>
              <w:spacing w:after="120"/>
            </w:pPr>
            <w:r w:rsidRPr="00DB5740">
              <w:rPr>
                <w:szCs w:val="24"/>
              </w:rPr>
              <w:t>Other financial statements and schedules required by Regulation S-X should be filed as Financial</w:t>
            </w:r>
            <w:r w:rsidRPr="00DB5740">
              <w:t xml:space="preserve"> Statement Schedules pursuant to Item 15, Exhibits, Financial Statement Schedules, and Reports on Form 8-K, of Form </w:t>
            </w:r>
            <w:r>
              <w:t>10</w:t>
            </w:r>
            <w:r>
              <w:noBreakHyphen/>
              <w:t>K</w:t>
            </w:r>
            <w:r w:rsidRPr="00DB5740">
              <w:t>.</w:t>
            </w:r>
          </w:p>
        </w:tc>
        <w:tc>
          <w:tcPr>
            <w:tcW w:w="925" w:type="pct"/>
            <w:tcBorders>
              <w:top w:val="single" w:sz="4" w:space="0" w:color="auto"/>
              <w:left w:val="single" w:sz="4" w:space="0" w:color="auto"/>
              <w:bottom w:val="single" w:sz="4" w:space="0" w:color="auto"/>
              <w:right w:val="single" w:sz="4" w:space="0" w:color="auto"/>
            </w:tcBorders>
          </w:tcPr>
          <w:p w14:paraId="73A73135" w14:textId="77777777" w:rsidR="004C67B7" w:rsidRPr="00DB5740"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tcPr>
          <w:p w14:paraId="7017B52A" w14:textId="77777777" w:rsidR="004C67B7" w:rsidRPr="00DB5740" w:rsidRDefault="004C67B7" w:rsidP="004C67B7"/>
        </w:tc>
        <w:tc>
          <w:tcPr>
            <w:tcW w:w="314" w:type="pct"/>
            <w:gridSpan w:val="2"/>
            <w:tcBorders>
              <w:top w:val="single" w:sz="4" w:space="0" w:color="auto"/>
              <w:left w:val="single" w:sz="4" w:space="0" w:color="auto"/>
              <w:bottom w:val="single" w:sz="4" w:space="0" w:color="auto"/>
              <w:right w:val="single" w:sz="4" w:space="0" w:color="auto"/>
            </w:tcBorders>
            <w:vAlign w:val="center"/>
          </w:tcPr>
          <w:p w14:paraId="588DF049"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58480D3D"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6A1A4DAB"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6E22478E" w14:textId="77777777" w:rsidR="004C67B7" w:rsidRPr="00DB5740" w:rsidRDefault="004C67B7" w:rsidP="004C67B7">
            <w:pPr>
              <w:rPr>
                <w:bCs/>
              </w:rPr>
            </w:pPr>
          </w:p>
        </w:tc>
        <w:tc>
          <w:tcPr>
            <w:tcW w:w="584" w:type="pct"/>
            <w:tcBorders>
              <w:top w:val="single" w:sz="4" w:space="0" w:color="auto"/>
              <w:left w:val="single" w:sz="4" w:space="0" w:color="auto"/>
              <w:bottom w:val="single" w:sz="4" w:space="0" w:color="auto"/>
              <w:right w:val="single" w:sz="4" w:space="0" w:color="auto"/>
            </w:tcBorders>
          </w:tcPr>
          <w:p w14:paraId="341FF27F" w14:textId="77777777" w:rsidR="004C67B7" w:rsidRPr="00DB5740" w:rsidRDefault="005B5528" w:rsidP="004C67B7">
            <w:pPr>
              <w:jc w:val="center"/>
            </w:pPr>
            <w:hyperlink r:id="rId138" w:anchor="229.302" w:history="1">
              <w:r w:rsidRPr="00DB5740">
                <w:rPr>
                  <w:rStyle w:val="Hyperlink"/>
                </w:rPr>
                <w:t>302</w:t>
              </w:r>
            </w:hyperlink>
          </w:p>
        </w:tc>
        <w:tc>
          <w:tcPr>
            <w:tcW w:w="1907" w:type="pct"/>
            <w:tcBorders>
              <w:top w:val="single" w:sz="4" w:space="0" w:color="auto"/>
              <w:left w:val="single" w:sz="4" w:space="0" w:color="auto"/>
              <w:bottom w:val="single" w:sz="4" w:space="0" w:color="auto"/>
              <w:right w:val="single" w:sz="4" w:space="0" w:color="auto"/>
            </w:tcBorders>
          </w:tcPr>
          <w:p w14:paraId="48A6B8CB" w14:textId="77777777" w:rsidR="004C67B7" w:rsidRPr="00DB5740" w:rsidRDefault="005B5528" w:rsidP="004C67B7">
            <w:pPr>
              <w:spacing w:after="120"/>
              <w:rPr>
                <w:szCs w:val="24"/>
              </w:rPr>
            </w:pPr>
            <w:r w:rsidRPr="00DB5740">
              <w:rPr>
                <w:b/>
                <w:bCs/>
                <w:szCs w:val="24"/>
              </w:rPr>
              <w:t>Supplementary Financial Information</w:t>
            </w:r>
          </w:p>
          <w:p w14:paraId="3F0C289A" w14:textId="77777777" w:rsidR="004C67B7" w:rsidRPr="00DB5740" w:rsidRDefault="005B5528" w:rsidP="004C67B7">
            <w:pPr>
              <w:spacing w:after="120"/>
              <w:rPr>
                <w:szCs w:val="24"/>
              </w:rPr>
            </w:pPr>
            <w:r w:rsidRPr="00DB5740">
              <w:rPr>
                <w:szCs w:val="24"/>
              </w:rPr>
              <w:t>As a result of the 2020 amendments, Item 302 requires supplementary financial information only when there ha</w:t>
            </w:r>
            <w:r>
              <w:rPr>
                <w:szCs w:val="24"/>
              </w:rPr>
              <w:t>s</w:t>
            </w:r>
            <w:r w:rsidRPr="00DB5740">
              <w:rPr>
                <w:szCs w:val="24"/>
              </w:rPr>
              <w:t xml:space="preserve"> been one o</w:t>
            </w:r>
            <w:r w:rsidRPr="00DB5740">
              <w:rPr>
                <w:szCs w:val="24"/>
              </w:rPr>
              <w:t xml:space="preserve">r more retrospective changes for any quarter in the last two fiscal years or any subsequent interim period that are material, individually or in the aggregate.  The </w:t>
            </w:r>
            <w:hyperlink r:id="rId139" w:history="1">
              <w:r w:rsidRPr="00DB5740">
                <w:rPr>
                  <w:rStyle w:val="Hyperlink"/>
                  <w:szCs w:val="24"/>
                </w:rPr>
                <w:t>ado</w:t>
              </w:r>
              <w:bookmarkStart w:id="74" w:name="_Hlt94001900"/>
              <w:bookmarkStart w:id="75" w:name="_Hlt94001901"/>
              <w:bookmarkEnd w:id="74"/>
              <w:bookmarkEnd w:id="75"/>
              <w:r w:rsidRPr="00DB5740">
                <w:rPr>
                  <w:rStyle w:val="Hyperlink"/>
                  <w:szCs w:val="24"/>
                </w:rPr>
                <w:t>pting release</w:t>
              </w:r>
            </w:hyperlink>
            <w:r w:rsidRPr="00DB5740">
              <w:rPr>
                <w:szCs w:val="24"/>
              </w:rPr>
              <w:t xml:space="preserve"> include</w:t>
            </w:r>
            <w:r w:rsidRPr="00DB5740">
              <w:rPr>
                <w:szCs w:val="24"/>
              </w:rPr>
              <w:t>d a non-exhaustive list of examples of retrospective changes that could require disclosure, if material:</w:t>
            </w:r>
          </w:p>
          <w:p w14:paraId="507E6227" w14:textId="77777777" w:rsidR="004C67B7" w:rsidRPr="00DB5740" w:rsidRDefault="005B5528" w:rsidP="004C67B7">
            <w:pPr>
              <w:pStyle w:val="ListBullet"/>
            </w:pPr>
            <w:r w:rsidRPr="00DB5740">
              <w:t>correction of an error;</w:t>
            </w:r>
          </w:p>
          <w:p w14:paraId="1B885394" w14:textId="77777777" w:rsidR="004C67B7" w:rsidRPr="00DB5740" w:rsidRDefault="005B5528" w:rsidP="004C67B7">
            <w:pPr>
              <w:pStyle w:val="ListBullet"/>
            </w:pPr>
            <w:r w:rsidRPr="00DB5740">
              <w:t>disposition of a business accounted for as discontinued operations;</w:t>
            </w:r>
          </w:p>
          <w:p w14:paraId="57FB0D56" w14:textId="77777777" w:rsidR="004C67B7" w:rsidRPr="00DB5740" w:rsidRDefault="005B5528" w:rsidP="004C67B7">
            <w:pPr>
              <w:pStyle w:val="ListBullet"/>
            </w:pPr>
            <w:r w:rsidRPr="00DB5740">
              <w:t>reorganization of entities under common control; and</w:t>
            </w:r>
          </w:p>
          <w:p w14:paraId="553B7B66" w14:textId="77777777" w:rsidR="004C67B7" w:rsidRPr="00DB5740" w:rsidRDefault="005B5528" w:rsidP="004C67B7">
            <w:pPr>
              <w:pStyle w:val="ListBullet"/>
            </w:pPr>
            <w:r w:rsidRPr="00DB5740">
              <w:t>a chan</w:t>
            </w:r>
            <w:r w:rsidRPr="00DB5740">
              <w:t>ge in accounting principles.</w:t>
            </w:r>
          </w:p>
          <w:p w14:paraId="65F9EC1E" w14:textId="77777777" w:rsidR="004C67B7" w:rsidRPr="00DB5740" w:rsidRDefault="005B5528" w:rsidP="004C67B7">
            <w:pPr>
              <w:spacing w:after="120"/>
              <w:rPr>
                <w:szCs w:val="24"/>
              </w:rPr>
            </w:pPr>
            <w:r w:rsidRPr="00DB5740">
              <w:rPr>
                <w:szCs w:val="24"/>
              </w:rPr>
              <w:t>If applicable, the company must explain any material changes and provide summarized financial information for each affected quarter and the fourth quarter in the relevant fiscal year</w:t>
            </w:r>
          </w:p>
          <w:p w14:paraId="3FE42299" w14:textId="77777777" w:rsidR="004C67B7" w:rsidRPr="00DB5740" w:rsidRDefault="005B5528" w:rsidP="004C67B7">
            <w:pPr>
              <w:spacing w:after="120"/>
              <w:rPr>
                <w:szCs w:val="24"/>
              </w:rPr>
            </w:pPr>
            <w:r w:rsidRPr="00DB5740">
              <w:rPr>
                <w:szCs w:val="24"/>
              </w:rPr>
              <w:t>IPO companies are not subject to this requir</w:t>
            </w:r>
            <w:r w:rsidRPr="00DB5740">
              <w:rPr>
                <w:szCs w:val="24"/>
              </w:rPr>
              <w:t xml:space="preserve">ement until the company has filed its first Form </w:t>
            </w:r>
            <w:r>
              <w:rPr>
                <w:szCs w:val="24"/>
              </w:rPr>
              <w:t>10</w:t>
            </w:r>
            <w:r>
              <w:rPr>
                <w:szCs w:val="24"/>
              </w:rPr>
              <w:noBreakHyphen/>
              <w:t>K</w:t>
            </w:r>
            <w:r w:rsidRPr="00DB5740">
              <w:rPr>
                <w:szCs w:val="24"/>
              </w:rPr>
              <w:t xml:space="preserve"> annual report after its IPO.</w:t>
            </w:r>
          </w:p>
        </w:tc>
        <w:tc>
          <w:tcPr>
            <w:tcW w:w="925" w:type="pct"/>
            <w:tcBorders>
              <w:top w:val="single" w:sz="4" w:space="0" w:color="auto"/>
              <w:left w:val="single" w:sz="4" w:space="0" w:color="auto"/>
              <w:bottom w:val="single" w:sz="4" w:space="0" w:color="auto"/>
              <w:right w:val="single" w:sz="4" w:space="0" w:color="auto"/>
            </w:tcBorders>
          </w:tcPr>
          <w:p w14:paraId="2E103068" w14:textId="77777777" w:rsidR="004C67B7" w:rsidRPr="00DB5740" w:rsidRDefault="005B5528" w:rsidP="004C67B7">
            <w:pPr>
              <w:spacing w:after="120"/>
            </w:pPr>
            <w:hyperlink r:id="rId140" w:history="1">
              <w:r w:rsidRPr="00DB5740">
                <w:rPr>
                  <w:rStyle w:val="Hyperlink"/>
                </w:rPr>
                <w:t>SEC Amends MD&amp;A and Other Fina</w:t>
              </w:r>
              <w:bookmarkStart w:id="76" w:name="_Hlt94001892"/>
              <w:bookmarkStart w:id="77" w:name="_Hlt94001893"/>
              <w:bookmarkEnd w:id="76"/>
              <w:bookmarkEnd w:id="77"/>
              <w:r w:rsidRPr="00DB5740">
                <w:rPr>
                  <w:rStyle w:val="Hyperlink"/>
                </w:rPr>
                <w:t>ncial Disclosure Rules</w:t>
              </w:r>
            </w:hyperlink>
            <w:r w:rsidRPr="00DB5740">
              <w:t xml:space="preserve"> (Goodwin aler</w:t>
            </w:r>
            <w:r w:rsidRPr="00DB5740">
              <w:t>t)</w:t>
            </w:r>
          </w:p>
        </w:tc>
        <w:tc>
          <w:tcPr>
            <w:tcW w:w="585" w:type="pct"/>
            <w:tcBorders>
              <w:top w:val="single" w:sz="4" w:space="0" w:color="auto"/>
              <w:left w:val="single" w:sz="4" w:space="0" w:color="auto"/>
              <w:bottom w:val="single" w:sz="4" w:space="0" w:color="auto"/>
              <w:right w:val="single" w:sz="4" w:space="0" w:color="auto"/>
            </w:tcBorders>
          </w:tcPr>
          <w:p w14:paraId="3E1DE40B" w14:textId="77777777" w:rsidR="004C67B7" w:rsidRPr="00DB5740" w:rsidRDefault="004C67B7" w:rsidP="004C67B7"/>
        </w:tc>
        <w:tc>
          <w:tcPr>
            <w:tcW w:w="314" w:type="pct"/>
            <w:gridSpan w:val="2"/>
            <w:tcBorders>
              <w:top w:val="single" w:sz="4" w:space="0" w:color="auto"/>
              <w:left w:val="single" w:sz="4" w:space="0" w:color="auto"/>
              <w:bottom w:val="single" w:sz="4" w:space="0" w:color="auto"/>
              <w:right w:val="single" w:sz="4" w:space="0" w:color="auto"/>
            </w:tcBorders>
            <w:vAlign w:val="center"/>
          </w:tcPr>
          <w:p w14:paraId="1BC240CE"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063CEB44"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348244B2"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0E227B48" w14:textId="77777777" w:rsidR="004C67B7" w:rsidRPr="00DB5740" w:rsidRDefault="004C67B7" w:rsidP="004C67B7">
            <w:pPr>
              <w:rPr>
                <w:bCs/>
              </w:rPr>
            </w:pPr>
          </w:p>
        </w:tc>
        <w:tc>
          <w:tcPr>
            <w:tcW w:w="584" w:type="pct"/>
            <w:tcBorders>
              <w:top w:val="single" w:sz="4" w:space="0" w:color="auto"/>
              <w:left w:val="single" w:sz="4" w:space="0" w:color="auto"/>
              <w:bottom w:val="single" w:sz="4" w:space="0" w:color="auto"/>
              <w:right w:val="single" w:sz="4" w:space="0" w:color="auto"/>
            </w:tcBorders>
          </w:tcPr>
          <w:p w14:paraId="5BE02AAF" w14:textId="77777777" w:rsidR="004C67B7" w:rsidRPr="00DB5740" w:rsidRDefault="004C67B7" w:rsidP="004C67B7">
            <w:pPr>
              <w:jc w:val="center"/>
            </w:pPr>
          </w:p>
        </w:tc>
        <w:tc>
          <w:tcPr>
            <w:tcW w:w="1907" w:type="pct"/>
            <w:tcBorders>
              <w:top w:val="single" w:sz="4" w:space="0" w:color="auto"/>
              <w:left w:val="single" w:sz="4" w:space="0" w:color="auto"/>
              <w:bottom w:val="single" w:sz="4" w:space="0" w:color="auto"/>
              <w:right w:val="single" w:sz="4" w:space="0" w:color="auto"/>
            </w:tcBorders>
          </w:tcPr>
          <w:p w14:paraId="41D257E3" w14:textId="77777777" w:rsidR="004C67B7" w:rsidRPr="00DB5740" w:rsidRDefault="005B5528" w:rsidP="004C67B7">
            <w:pPr>
              <w:spacing w:after="120"/>
              <w:rPr>
                <w:szCs w:val="24"/>
              </w:rPr>
            </w:pPr>
            <w:r w:rsidRPr="00DB5740">
              <w:rPr>
                <w:szCs w:val="24"/>
              </w:rPr>
              <w:t>The 2020 amendments eliminated the requirement to disclose supplementary quarterly financial information for each quarter within the two most recent fiscal years and any subsequent period for which financial statements are included.  Com</w:t>
            </w:r>
            <w:r w:rsidRPr="00DB5740">
              <w:rPr>
                <w:szCs w:val="24"/>
              </w:rPr>
              <w:t>panies frequently complied with this requirement by including this information in the footnotes to the financial statements.  The company should confirm with its auditor that this table can be removed.</w:t>
            </w:r>
          </w:p>
          <w:p w14:paraId="3D8270EA" w14:textId="77777777" w:rsidR="004C67B7" w:rsidRPr="00DB5740" w:rsidRDefault="005B5528" w:rsidP="004C67B7">
            <w:pPr>
              <w:spacing w:after="120"/>
              <w:rPr>
                <w:szCs w:val="24"/>
              </w:rPr>
            </w:pPr>
            <w:r w:rsidRPr="00DB5740">
              <w:rPr>
                <w:szCs w:val="24"/>
              </w:rPr>
              <w:t>Confirm that the supplemental quarterly financial info</w:t>
            </w:r>
            <w:r w:rsidRPr="00DB5740">
              <w:rPr>
                <w:szCs w:val="24"/>
              </w:rPr>
              <w:t>rmation table has been removed from the footnotes to the financial statements.</w:t>
            </w:r>
          </w:p>
        </w:tc>
        <w:tc>
          <w:tcPr>
            <w:tcW w:w="925" w:type="pct"/>
            <w:tcBorders>
              <w:top w:val="single" w:sz="4" w:space="0" w:color="auto"/>
              <w:left w:val="single" w:sz="4" w:space="0" w:color="auto"/>
              <w:bottom w:val="single" w:sz="4" w:space="0" w:color="auto"/>
              <w:right w:val="single" w:sz="4" w:space="0" w:color="auto"/>
            </w:tcBorders>
          </w:tcPr>
          <w:p w14:paraId="5032857E" w14:textId="77777777" w:rsidR="004C67B7" w:rsidRPr="00DB5740"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tcPr>
          <w:p w14:paraId="3D380D5D" w14:textId="77777777" w:rsidR="004C67B7" w:rsidRPr="00DB5740" w:rsidRDefault="004C67B7" w:rsidP="004C67B7"/>
        </w:tc>
        <w:tc>
          <w:tcPr>
            <w:tcW w:w="314" w:type="pct"/>
            <w:gridSpan w:val="2"/>
            <w:tcBorders>
              <w:top w:val="single" w:sz="4" w:space="0" w:color="auto"/>
              <w:left w:val="single" w:sz="4" w:space="0" w:color="auto"/>
              <w:bottom w:val="single" w:sz="4" w:space="0" w:color="auto"/>
              <w:right w:val="single" w:sz="4" w:space="0" w:color="auto"/>
            </w:tcBorders>
            <w:vAlign w:val="center"/>
          </w:tcPr>
          <w:p w14:paraId="2A65736A"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1109800E"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06918A92"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04922F91" w14:textId="77777777" w:rsidR="004C67B7" w:rsidRPr="00DB5740" w:rsidRDefault="004C67B7" w:rsidP="004C67B7">
            <w:pPr>
              <w:rPr>
                <w:b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77378B6A" w14:textId="77777777" w:rsidR="004C67B7" w:rsidRPr="00DB5740" w:rsidRDefault="004C67B7" w:rsidP="004C67B7">
            <w:pPr>
              <w:jc w:val="center"/>
            </w:pPr>
          </w:p>
        </w:tc>
        <w:tc>
          <w:tcPr>
            <w:tcW w:w="1907" w:type="pct"/>
            <w:tcBorders>
              <w:top w:val="single" w:sz="4" w:space="0" w:color="auto"/>
              <w:bottom w:val="single" w:sz="4" w:space="0" w:color="auto"/>
            </w:tcBorders>
            <w:shd w:val="clear" w:color="auto" w:fill="auto"/>
          </w:tcPr>
          <w:p w14:paraId="28EC5520" w14:textId="77777777" w:rsidR="004C67B7" w:rsidRPr="00DB5740" w:rsidRDefault="005B5528" w:rsidP="004C67B7">
            <w:pPr>
              <w:spacing w:after="120"/>
            </w:pPr>
            <w:r w:rsidRPr="00DB5740">
              <w:rPr>
                <w:b/>
                <w:bCs/>
              </w:rPr>
              <w:t xml:space="preserve">Audit Report </w:t>
            </w:r>
          </w:p>
          <w:p w14:paraId="0D8A6A98" w14:textId="77777777" w:rsidR="004C67B7" w:rsidRPr="00DB5740" w:rsidRDefault="005B5528" w:rsidP="004C67B7">
            <w:pPr>
              <w:spacing w:after="120"/>
            </w:pPr>
            <w:r w:rsidRPr="00DB5740">
              <w:t xml:space="preserve">Audit reports must include the </w:t>
            </w:r>
            <w:hyperlink r:id="rId141" w:history="1">
              <w:r w:rsidRPr="00DB5740">
                <w:rPr>
                  <w:rStyle w:val="Hyperlink"/>
                </w:rPr>
                <w:t>substantiv</w:t>
              </w:r>
              <w:bookmarkStart w:id="78" w:name="_Hlt94003126"/>
              <w:bookmarkEnd w:id="78"/>
              <w:r w:rsidRPr="00DB5740">
                <w:rPr>
                  <w:rStyle w:val="Hyperlink"/>
                </w:rPr>
                <w:t>e and fo</w:t>
              </w:r>
              <w:r w:rsidRPr="00DB5740">
                <w:rPr>
                  <w:rStyle w:val="Hyperlink"/>
                </w:rPr>
                <w:t>rmal changes</w:t>
              </w:r>
            </w:hyperlink>
            <w:r w:rsidRPr="00DB5740">
              <w:t xml:space="preserve"> required by </w:t>
            </w:r>
            <w:hyperlink r:id="rId142" w:history="1">
              <w:r w:rsidRPr="00DB5740">
                <w:rPr>
                  <w:rStyle w:val="Hyperlink"/>
                </w:rPr>
                <w:t>Audit S</w:t>
              </w:r>
              <w:bookmarkStart w:id="79" w:name="_Hlt94003136"/>
              <w:bookmarkEnd w:id="79"/>
              <w:r w:rsidRPr="00DB5740">
                <w:rPr>
                  <w:rStyle w:val="Hyperlink"/>
                </w:rPr>
                <w:t>tandard 3101</w:t>
              </w:r>
            </w:hyperlink>
            <w:r w:rsidRPr="00DB5740">
              <w:t xml:space="preserve">.  </w:t>
            </w:r>
          </w:p>
          <w:p w14:paraId="12280504" w14:textId="77777777" w:rsidR="004C67B7" w:rsidRPr="00DB5740" w:rsidRDefault="005B5528" w:rsidP="004C67B7">
            <w:pPr>
              <w:spacing w:after="120"/>
            </w:pPr>
            <w:r w:rsidRPr="00DB5740">
              <w:t>Confirm that the auditor</w:t>
            </w:r>
            <w:r>
              <w:t>’</w:t>
            </w:r>
            <w:r w:rsidRPr="00DB5740">
              <w:t>s report on the audited financial statements complies with Audit Standard 3101.</w:t>
            </w:r>
          </w:p>
          <w:p w14:paraId="24551BFC" w14:textId="77777777" w:rsidR="004C67B7" w:rsidRPr="00DB5740" w:rsidRDefault="005B5528" w:rsidP="004C67B7">
            <w:pPr>
              <w:spacing w:after="120"/>
              <w:rPr>
                <w:b/>
              </w:rPr>
            </w:pPr>
            <w:r w:rsidRPr="00DB5740">
              <w:t>Audit Standard 3101 also req</w:t>
            </w:r>
            <w:r w:rsidRPr="00DB5740">
              <w:t xml:space="preserve">uires disclosure of </w:t>
            </w:r>
            <w:r>
              <w:t>“</w:t>
            </w:r>
            <w:r w:rsidRPr="00DB5740">
              <w:t>critical audit matters</w:t>
            </w:r>
            <w:r>
              <w:t>”</w:t>
            </w:r>
            <w:r w:rsidRPr="00DB5740">
              <w:t xml:space="preserve"> in audit reports, discussed below under </w:t>
            </w:r>
            <w:r>
              <w:t>“</w:t>
            </w:r>
            <w:r w:rsidRPr="00DB5740">
              <w:t>Critical Audit Matter Disclosures in Audit Report.</w:t>
            </w:r>
            <w:r>
              <w:t>”</w:t>
            </w:r>
          </w:p>
        </w:tc>
        <w:tc>
          <w:tcPr>
            <w:tcW w:w="925" w:type="pct"/>
            <w:tcBorders>
              <w:top w:val="single" w:sz="4" w:space="0" w:color="auto"/>
              <w:bottom w:val="single" w:sz="4" w:space="0" w:color="auto"/>
            </w:tcBorders>
            <w:shd w:val="clear" w:color="auto" w:fill="FFFFFF"/>
          </w:tcPr>
          <w:p w14:paraId="701F487E" w14:textId="77777777" w:rsidR="004C67B7" w:rsidRPr="00DB5740" w:rsidRDefault="005B5528" w:rsidP="004C67B7">
            <w:pPr>
              <w:spacing w:after="120"/>
            </w:pPr>
            <w:hyperlink r:id="rId143" w:history="1">
              <w:r w:rsidRPr="00DB5740">
                <w:rPr>
                  <w:rStyle w:val="Hyperlink"/>
                </w:rPr>
                <w:t>Decemb</w:t>
              </w:r>
              <w:bookmarkStart w:id="80" w:name="_Hlt94003145"/>
              <w:bookmarkStart w:id="81" w:name="_Hlt94003146"/>
              <w:bookmarkEnd w:id="80"/>
              <w:bookmarkEnd w:id="81"/>
              <w:r w:rsidRPr="00DB5740">
                <w:rPr>
                  <w:rStyle w:val="Hyperlink"/>
                </w:rPr>
                <w:t>er 2</w:t>
              </w:r>
              <w:r w:rsidRPr="00DB5740">
                <w:rPr>
                  <w:rStyle w:val="Hyperlink"/>
                </w:rPr>
                <w:t>0</w:t>
              </w:r>
              <w:bookmarkStart w:id="82" w:name="_Hlt94003158"/>
              <w:r w:rsidRPr="00DB5740">
                <w:rPr>
                  <w:rStyle w:val="Hyperlink"/>
                </w:rPr>
                <w:t>1</w:t>
              </w:r>
              <w:bookmarkEnd w:id="82"/>
              <w:r w:rsidRPr="00DB5740">
                <w:rPr>
                  <w:rStyle w:val="Hyperlink"/>
                </w:rPr>
                <w:t>7 guidance</w:t>
              </w:r>
            </w:hyperlink>
            <w:r w:rsidRPr="00DB5740">
              <w:t xml:space="preserve"> from the PCAOB staff contains an annotated example of an audit report that complies with the new requirements on page 2 of the guidance.</w:t>
            </w:r>
          </w:p>
          <w:p w14:paraId="7B2D0195" w14:textId="77777777" w:rsidR="004C67B7" w:rsidRPr="00DB5740" w:rsidRDefault="005B5528" w:rsidP="004C67B7">
            <w:pPr>
              <w:spacing w:after="120"/>
            </w:pPr>
            <w:hyperlink r:id="rId144" w:history="1">
              <w:r w:rsidRPr="00DB5740">
                <w:rPr>
                  <w:rStyle w:val="Hyperlink"/>
                </w:rPr>
                <w:t>New PCA</w:t>
              </w:r>
              <w:r w:rsidRPr="00DB5740">
                <w:rPr>
                  <w:rStyle w:val="Hyperlink"/>
                </w:rPr>
                <w:t>OB Audit Standard For Audit Re</w:t>
              </w:r>
              <w:bookmarkStart w:id="83" w:name="_Hlt94003233"/>
              <w:bookmarkEnd w:id="83"/>
              <w:r w:rsidRPr="00DB5740">
                <w:rPr>
                  <w:rStyle w:val="Hyperlink"/>
                </w:rPr>
                <w:t>ports</w:t>
              </w:r>
            </w:hyperlink>
            <w:r w:rsidRPr="00DB5740">
              <w:t xml:space="preserve"> (Goodwin alert)</w:t>
            </w: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08A29C0E" w14:textId="77777777" w:rsidR="004C67B7" w:rsidRPr="00DB5740" w:rsidRDefault="004C67B7" w:rsidP="004C67B7"/>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9805A"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5BCDF088"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2F574ECB"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187DAB81" w14:textId="77777777" w:rsidR="004C67B7" w:rsidRPr="00DB5740" w:rsidRDefault="004C67B7" w:rsidP="004C67B7">
            <w:pPr>
              <w:rPr>
                <w:b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8292AA3" w14:textId="77777777" w:rsidR="004C67B7" w:rsidRPr="00DB5740" w:rsidRDefault="004C67B7" w:rsidP="004C67B7">
            <w:pPr>
              <w:jc w:val="center"/>
            </w:pPr>
          </w:p>
        </w:tc>
        <w:tc>
          <w:tcPr>
            <w:tcW w:w="1907" w:type="pct"/>
            <w:tcBorders>
              <w:top w:val="single" w:sz="4" w:space="0" w:color="auto"/>
              <w:bottom w:val="single" w:sz="4" w:space="0" w:color="auto"/>
            </w:tcBorders>
            <w:shd w:val="clear" w:color="auto" w:fill="auto"/>
          </w:tcPr>
          <w:p w14:paraId="4E558096" w14:textId="77777777" w:rsidR="004C67B7" w:rsidRPr="00DB5740" w:rsidRDefault="005B5528" w:rsidP="004C67B7">
            <w:pPr>
              <w:spacing w:after="120"/>
            </w:pPr>
            <w:r w:rsidRPr="00DB5740">
              <w:rPr>
                <w:b/>
                <w:bCs/>
              </w:rPr>
              <w:t>Audit Report Interactive XBRL Tagging</w:t>
            </w:r>
            <w:r>
              <w:rPr>
                <w:b/>
                <w:bCs/>
              </w:rPr>
              <w:t xml:space="preserve"> (Optional Location)</w:t>
            </w:r>
          </w:p>
          <w:p w14:paraId="4132DE5F" w14:textId="77777777" w:rsidR="004C67B7" w:rsidRDefault="005B5528" w:rsidP="004C67B7">
            <w:pPr>
              <w:spacing w:after="120"/>
            </w:pPr>
            <w:r w:rsidRPr="00DB5740">
              <w:t xml:space="preserve">Rules adopted by the SEC to implement the HFCAA include a requirement that </w:t>
            </w:r>
            <w:r>
              <w:t>Form 10-K reports include the auditor’s name, location</w:t>
            </w:r>
            <w:r>
              <w:t xml:space="preserve"> and PCAOB firm ID number in visible text, and that this information be tagged using interactive XBRL tags, as required by Item 405 or Regulation S-T and the EDGAR Filer Manual.  There is no specific location required for this information.</w:t>
            </w:r>
          </w:p>
          <w:p w14:paraId="5789C138" w14:textId="77777777" w:rsidR="004C67B7" w:rsidRPr="00DB5740" w:rsidRDefault="005B5528" w:rsidP="004C67B7">
            <w:pPr>
              <w:spacing w:after="120"/>
            </w:pPr>
            <w:r>
              <w:t>The audit report</w:t>
            </w:r>
            <w:r>
              <w:t xml:space="preserve"> already contains the auditor’s name and location.  Companies should discuss compliance with the auditor information disclosure requirements with the auditor.  If the auditor agrees, one approach to compliance would be to add the auditor’s PCAOB firm ID nu</w:t>
            </w:r>
            <w:r>
              <w:t>mber to the audit report and add the required tags to the auditor’s name, location and PCAOB firm ID number.</w:t>
            </w:r>
            <w:r w:rsidRPr="00DB5740">
              <w:t xml:space="preserve">  </w:t>
            </w:r>
            <w:r>
              <w:t xml:space="preserve">Item 14, below, presents an alternative approach to compliance with these requirements.  There is additional information under </w:t>
            </w:r>
            <w:r w:rsidRPr="00780842">
              <w:rPr>
                <w:iCs/>
              </w:rPr>
              <w:t xml:space="preserve">Item 9C, </w:t>
            </w:r>
            <w:r>
              <w:rPr>
                <w:iCs/>
              </w:rPr>
              <w:t>“</w:t>
            </w:r>
            <w:r w:rsidRPr="00780842">
              <w:rPr>
                <w:iCs/>
              </w:rPr>
              <w:t>Disclosur</w:t>
            </w:r>
            <w:r w:rsidRPr="00780842">
              <w:rPr>
                <w:iCs/>
              </w:rPr>
              <w:t>e Regarding Foreign Jurisdictions that Prevent Inspections</w:t>
            </w:r>
            <w:r>
              <w:rPr>
                <w:iCs/>
              </w:rPr>
              <w:t>,”</w:t>
            </w:r>
            <w:r w:rsidRPr="00780842">
              <w:rPr>
                <w:iCs/>
              </w:rPr>
              <w:t xml:space="preserve"> </w:t>
            </w:r>
            <w:r w:rsidRPr="00780842">
              <w:t xml:space="preserve">and Item 14, </w:t>
            </w:r>
            <w:r>
              <w:t>“</w:t>
            </w:r>
            <w:r w:rsidRPr="00780842">
              <w:t>Principal Accountant Fees and Services</w:t>
            </w:r>
            <w:r>
              <w:t>.”</w:t>
            </w:r>
          </w:p>
          <w:p w14:paraId="5AC671F6" w14:textId="77777777" w:rsidR="004C67B7" w:rsidRDefault="005B5528" w:rsidP="004C67B7">
            <w:pPr>
              <w:spacing w:after="120"/>
            </w:pPr>
            <w:r w:rsidRPr="00DB5740">
              <w:t>Confirm</w:t>
            </w:r>
            <w:r>
              <w:t xml:space="preserve"> that the auditor’s PCAOB firm ID number will be included – somewhere, although not necessarily in Item 8 –  in the Form 10-K in visi</w:t>
            </w:r>
            <w:r>
              <w:t>ble text in a location determined by the company with the approval of the auditor.</w:t>
            </w:r>
          </w:p>
          <w:p w14:paraId="0A0EC46F" w14:textId="77777777" w:rsidR="004C67B7" w:rsidRPr="006D5F83" w:rsidRDefault="005B5528" w:rsidP="004C67B7">
            <w:pPr>
              <w:spacing w:after="120"/>
            </w:pPr>
            <w:r>
              <w:t xml:space="preserve">Confirm </w:t>
            </w:r>
            <w:r w:rsidRPr="00DB5740">
              <w:t>or ask the company to confirm that this information will be tagged as required by SEC rules.</w:t>
            </w:r>
          </w:p>
        </w:tc>
        <w:tc>
          <w:tcPr>
            <w:tcW w:w="925" w:type="pct"/>
            <w:tcBorders>
              <w:top w:val="single" w:sz="4" w:space="0" w:color="auto"/>
              <w:bottom w:val="single" w:sz="4" w:space="0" w:color="auto"/>
            </w:tcBorders>
            <w:shd w:val="clear" w:color="auto" w:fill="FFFFFF"/>
          </w:tcPr>
          <w:p w14:paraId="73929689" w14:textId="77777777" w:rsidR="004C67B7" w:rsidRPr="00DB5740"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59A5F928" w14:textId="77777777" w:rsidR="004C67B7" w:rsidRPr="00DB5740" w:rsidRDefault="004C67B7" w:rsidP="004C67B7"/>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4693E"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74565712"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69B83253"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437681F6" w14:textId="77777777" w:rsidR="004C67B7" w:rsidRPr="00DB5740" w:rsidRDefault="004C67B7" w:rsidP="004C67B7">
            <w:pPr>
              <w:rPr>
                <w:b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34648765" w14:textId="77777777" w:rsidR="004C67B7" w:rsidRPr="00DB5740" w:rsidRDefault="004C67B7" w:rsidP="004C67B7">
            <w:pPr>
              <w:jc w:val="center"/>
            </w:pPr>
          </w:p>
        </w:tc>
        <w:tc>
          <w:tcPr>
            <w:tcW w:w="1907" w:type="pct"/>
            <w:tcBorders>
              <w:top w:val="single" w:sz="4" w:space="0" w:color="auto"/>
              <w:bottom w:val="single" w:sz="4" w:space="0" w:color="auto"/>
            </w:tcBorders>
            <w:shd w:val="clear" w:color="auto" w:fill="auto"/>
          </w:tcPr>
          <w:p w14:paraId="0FAAFD0B" w14:textId="77777777" w:rsidR="004C67B7" w:rsidRPr="00DB5740" w:rsidRDefault="005B5528" w:rsidP="004C67B7">
            <w:pPr>
              <w:spacing w:after="120"/>
              <w:rPr>
                <w:b/>
                <w:szCs w:val="24"/>
              </w:rPr>
            </w:pPr>
            <w:r w:rsidRPr="00DB5740">
              <w:rPr>
                <w:b/>
                <w:szCs w:val="24"/>
              </w:rPr>
              <w:t>Cross-References and Incorporation by Reference in Fina</w:t>
            </w:r>
            <w:r w:rsidRPr="00DB5740">
              <w:rPr>
                <w:b/>
                <w:szCs w:val="24"/>
              </w:rPr>
              <w:t>ncial Statements</w:t>
            </w:r>
          </w:p>
          <w:p w14:paraId="2DBA502F" w14:textId="77777777" w:rsidR="004C67B7" w:rsidRPr="00DB5740" w:rsidRDefault="005B5528" w:rsidP="004C67B7">
            <w:pPr>
              <w:spacing w:after="120"/>
              <w:rPr>
                <w:szCs w:val="24"/>
              </w:rPr>
            </w:pPr>
            <w:r w:rsidRPr="00DB5740">
              <w:rPr>
                <w:szCs w:val="24"/>
              </w:rPr>
              <w:t xml:space="preserve">SEC Securities Act </w:t>
            </w:r>
            <w:hyperlink r:id="rId145" w:anchor="230.411" w:history="1">
              <w:r w:rsidRPr="00DB5740">
                <w:rPr>
                  <w:rStyle w:val="Hyperlink"/>
                  <w:szCs w:val="24"/>
                </w:rPr>
                <w:t xml:space="preserve">Rule </w:t>
              </w:r>
              <w:bookmarkStart w:id="84" w:name="_Hlt94003244"/>
              <w:bookmarkStart w:id="85" w:name="_Hlt94003245"/>
              <w:bookmarkEnd w:id="84"/>
              <w:bookmarkEnd w:id="85"/>
              <w:r w:rsidRPr="00DB5740">
                <w:rPr>
                  <w:rStyle w:val="Hyperlink"/>
                  <w:szCs w:val="24"/>
                </w:rPr>
                <w:t>411</w:t>
              </w:r>
            </w:hyperlink>
            <w:r w:rsidRPr="00DB5740">
              <w:rPr>
                <w:szCs w:val="24"/>
              </w:rPr>
              <w:t xml:space="preserve"> and Exchange Act Rules </w:t>
            </w:r>
            <w:bookmarkStart w:id="86" w:name="_Hlt94003252"/>
            <w:bookmarkStart w:id="87" w:name="_Hlt94003253"/>
            <w:bookmarkEnd w:id="86"/>
            <w:bookmarkEnd w:id="87"/>
            <w:r>
              <w:fldChar w:fldCharType="begin"/>
            </w:r>
            <w:r w:rsidRPr="00DB5740">
              <w:rPr>
                <w:rStyle w:val="Hyperlink"/>
                <w:szCs w:val="24"/>
              </w:rPr>
              <w:instrText xml:space="preserve"> HYPERLINK "https://www.ecfr.gov/current/title-17/chapter-II/part-240" \l "240.0-4" </w:instrText>
            </w:r>
            <w:r>
              <w:fldChar w:fldCharType="separate"/>
            </w:r>
            <w:r w:rsidRPr="00DB5740">
              <w:rPr>
                <w:rStyle w:val="Hyperlink"/>
                <w:szCs w:val="24"/>
              </w:rPr>
              <w:t>0</w:t>
            </w:r>
            <w:bookmarkStart w:id="88" w:name="_Hlt94452213"/>
            <w:r w:rsidRPr="00DB5740">
              <w:rPr>
                <w:rStyle w:val="Hyperlink"/>
                <w:szCs w:val="24"/>
              </w:rPr>
              <w:t>-</w:t>
            </w:r>
            <w:bookmarkEnd w:id="88"/>
            <w:r w:rsidRPr="00DB5740">
              <w:rPr>
                <w:rStyle w:val="Hyperlink"/>
                <w:szCs w:val="24"/>
              </w:rPr>
              <w:t>4</w:t>
            </w:r>
            <w:r>
              <w:fldChar w:fldCharType="end"/>
            </w:r>
            <w:r w:rsidRPr="00DB5740">
              <w:rPr>
                <w:szCs w:val="24"/>
              </w:rPr>
              <w:t xml:space="preserve"> and </w:t>
            </w:r>
            <w:hyperlink r:id="rId146" w:anchor="240.12b-23" w:history="1">
              <w:r w:rsidRPr="00DB5740">
                <w:rPr>
                  <w:rStyle w:val="Hyperlink"/>
                  <w:szCs w:val="24"/>
                </w:rPr>
                <w:t>12b-</w:t>
              </w:r>
              <w:bookmarkStart w:id="89" w:name="_Hlt94003269"/>
              <w:bookmarkStart w:id="90" w:name="_Hlt94003270"/>
              <w:bookmarkEnd w:id="89"/>
              <w:bookmarkEnd w:id="90"/>
              <w:r w:rsidRPr="00DB5740">
                <w:rPr>
                  <w:rStyle w:val="Hyperlink"/>
                  <w:szCs w:val="24"/>
                </w:rPr>
                <w:t>23</w:t>
              </w:r>
            </w:hyperlink>
            <w:r w:rsidRPr="00DB5740">
              <w:rPr>
                <w:szCs w:val="24"/>
              </w:rPr>
              <w:t xml:space="preserve"> prohibit cross-references to disclosure in other parts of a filing, and incorporation by reference of information from other filings, in financial s</w:t>
            </w:r>
            <w:r>
              <w:rPr>
                <w:szCs w:val="24"/>
              </w:rPr>
              <w:t>t</w:t>
            </w:r>
            <w:r w:rsidRPr="00DB5740">
              <w:rPr>
                <w:szCs w:val="24"/>
              </w:rPr>
              <w:t>atements unle</w:t>
            </w:r>
            <w:r w:rsidRPr="00DB5740">
              <w:rPr>
                <w:szCs w:val="24"/>
              </w:rPr>
              <w:t>ss specifically permitted or required by other SEC rul</w:t>
            </w:r>
            <w:r>
              <w:rPr>
                <w:szCs w:val="24"/>
              </w:rPr>
              <w:t>es,</w:t>
            </w:r>
            <w:r w:rsidRPr="00DB5740">
              <w:rPr>
                <w:szCs w:val="24"/>
              </w:rPr>
              <w:t xml:space="preserve"> by GAAP, or </w:t>
            </w:r>
            <w:r>
              <w:rPr>
                <w:szCs w:val="24"/>
              </w:rPr>
              <w:t>b</w:t>
            </w:r>
            <w:r w:rsidRPr="00DB5740">
              <w:rPr>
                <w:szCs w:val="24"/>
              </w:rPr>
              <w:t>y IFRS.</w:t>
            </w:r>
          </w:p>
          <w:p w14:paraId="5FA2F5F6" w14:textId="77777777" w:rsidR="004C67B7" w:rsidRPr="00DB5740" w:rsidRDefault="005B5528" w:rsidP="004C67B7">
            <w:pPr>
              <w:spacing w:after="120"/>
              <w:rPr>
                <w:szCs w:val="24"/>
              </w:rPr>
            </w:pPr>
            <w:r w:rsidRPr="00DB5740">
              <w:rPr>
                <w:szCs w:val="24"/>
              </w:rPr>
              <w:t>For examples of permitted or re</w:t>
            </w:r>
            <w:r>
              <w:rPr>
                <w:szCs w:val="24"/>
              </w:rPr>
              <w:t>q</w:t>
            </w:r>
            <w:r w:rsidRPr="00DB5740">
              <w:rPr>
                <w:szCs w:val="24"/>
              </w:rPr>
              <w:t xml:space="preserve">uired incorporation by reference, see footnote 79 in </w:t>
            </w:r>
            <w:hyperlink r:id="rId147" w:history="1">
              <w:bookmarkStart w:id="91" w:name="_Hlt94003285"/>
              <w:bookmarkStart w:id="92" w:name="_Hlt94003286"/>
              <w:bookmarkEnd w:id="91"/>
              <w:bookmarkEnd w:id="92"/>
              <w:r w:rsidRPr="005E0096">
                <w:rPr>
                  <w:rStyle w:val="Hyperlink"/>
                  <w:szCs w:val="24"/>
                </w:rPr>
                <w:t>Release N</w:t>
              </w:r>
              <w:bookmarkStart w:id="93" w:name="_Hlt94452231"/>
              <w:bookmarkStart w:id="94" w:name="_Hlt94452232"/>
              <w:r w:rsidRPr="005E0096">
                <w:rPr>
                  <w:rStyle w:val="Hyperlink"/>
                  <w:szCs w:val="24"/>
                </w:rPr>
                <w:t>o</w:t>
              </w:r>
              <w:bookmarkEnd w:id="93"/>
              <w:bookmarkEnd w:id="94"/>
              <w:r w:rsidRPr="005E0096">
                <w:rPr>
                  <w:rStyle w:val="Hyperlink"/>
                  <w:szCs w:val="24"/>
                </w:rPr>
                <w:t>. 33-10618</w:t>
              </w:r>
            </w:hyperlink>
            <w:r w:rsidRPr="00DB5740">
              <w:rPr>
                <w:szCs w:val="24"/>
              </w:rPr>
              <w:t>.</w:t>
            </w:r>
          </w:p>
        </w:tc>
        <w:tc>
          <w:tcPr>
            <w:tcW w:w="925" w:type="pct"/>
            <w:tcBorders>
              <w:top w:val="single" w:sz="4" w:space="0" w:color="auto"/>
              <w:bottom w:val="single" w:sz="4" w:space="0" w:color="auto"/>
            </w:tcBorders>
            <w:shd w:val="clear" w:color="auto" w:fill="FFFFFF"/>
          </w:tcPr>
          <w:p w14:paraId="09C2C4DF" w14:textId="77777777" w:rsidR="004C67B7" w:rsidRPr="00DB5740"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10076513" w14:textId="77777777" w:rsidR="004C67B7" w:rsidRPr="00DB5740" w:rsidRDefault="004C67B7" w:rsidP="004C67B7"/>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D3703" w14:textId="77777777" w:rsidR="004C67B7" w:rsidRPr="00DB5740" w:rsidRDefault="005B5528" w:rsidP="004C67B7">
            <w:pPr>
              <w:jc w:val="center"/>
            </w:pPr>
            <w:r w:rsidRPr="00DB5740">
              <w:t>Y</w:t>
            </w:r>
            <w:r w:rsidRPr="00DB5740">
              <w:t xml:space="preserve">es </w:t>
            </w:r>
            <w:r w:rsidRPr="00DB5740">
              <w:rPr>
                <w:rFonts w:ascii="Segoe UI Symbol" w:eastAsia="MS Gothic" w:hAnsi="Segoe UI Symbol" w:cs="Segoe UI Symbol"/>
              </w:rPr>
              <w:t>☐</w:t>
            </w:r>
          </w:p>
          <w:p w14:paraId="23F42EE8"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3EC3A074"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tcPr>
          <w:p w14:paraId="5A6F9542" w14:textId="77777777" w:rsidR="004C67B7" w:rsidRPr="00DB5740" w:rsidRDefault="004C67B7" w:rsidP="004C67B7">
            <w:pPr>
              <w:rPr>
                <w:bCs/>
              </w:rPr>
            </w:pPr>
          </w:p>
        </w:tc>
        <w:tc>
          <w:tcPr>
            <w:tcW w:w="584" w:type="pct"/>
            <w:tcBorders>
              <w:top w:val="single" w:sz="4" w:space="0" w:color="auto"/>
              <w:left w:val="single" w:sz="4" w:space="0" w:color="auto"/>
              <w:bottom w:val="single" w:sz="4" w:space="0" w:color="auto"/>
              <w:right w:val="single" w:sz="4" w:space="0" w:color="auto"/>
            </w:tcBorders>
          </w:tcPr>
          <w:p w14:paraId="05BDEF87" w14:textId="77777777" w:rsidR="004C67B7" w:rsidRPr="00DB5740" w:rsidRDefault="004C67B7" w:rsidP="004C67B7">
            <w:pPr>
              <w:jc w:val="center"/>
            </w:pPr>
          </w:p>
        </w:tc>
        <w:tc>
          <w:tcPr>
            <w:tcW w:w="1907" w:type="pct"/>
          </w:tcPr>
          <w:p w14:paraId="629ACCC2" w14:textId="77777777" w:rsidR="004C67B7" w:rsidRPr="00DB5740" w:rsidRDefault="005B5528" w:rsidP="004C67B7">
            <w:pPr>
              <w:pStyle w:val="BodyText"/>
              <w:spacing w:after="120"/>
            </w:pPr>
            <w:r w:rsidRPr="00DB5740">
              <w:rPr>
                <w:b/>
              </w:rPr>
              <w:t>Critical Audit Matter</w:t>
            </w:r>
            <w:r>
              <w:rPr>
                <w:b/>
              </w:rPr>
              <w:t>s</w:t>
            </w:r>
            <w:r w:rsidRPr="00DB5740">
              <w:rPr>
                <w:b/>
              </w:rPr>
              <w:t xml:space="preserve"> Disclosure in Audit Report</w:t>
            </w:r>
          </w:p>
          <w:p w14:paraId="67AE0996" w14:textId="77777777" w:rsidR="004C67B7" w:rsidRPr="00DB5740" w:rsidRDefault="005B5528" w:rsidP="004C67B7">
            <w:pPr>
              <w:pStyle w:val="BodyText"/>
              <w:spacing w:after="120"/>
            </w:pPr>
            <w:r w:rsidRPr="00DB5740">
              <w:t>The company</w:t>
            </w:r>
            <w:r>
              <w:t>’</w:t>
            </w:r>
            <w:r w:rsidRPr="00DB5740">
              <w:t xml:space="preserve">s auditor must include disclosure in its audit report about critical audit matters (CAMs) that the auditor identified during the audit.  </w:t>
            </w:r>
          </w:p>
          <w:p w14:paraId="1AB2BAE7" w14:textId="77777777" w:rsidR="004C67B7" w:rsidRPr="00A44985" w:rsidRDefault="005B5528" w:rsidP="004C67B7">
            <w:pPr>
              <w:pStyle w:val="BodyText"/>
              <w:spacing w:after="120"/>
            </w:pPr>
            <w:r w:rsidRPr="00A44985">
              <w:t>This requirement applies to all domestic o</w:t>
            </w:r>
            <w:r w:rsidRPr="00A44985">
              <w:t>perating company filers other than EGCs.</w:t>
            </w:r>
          </w:p>
          <w:p w14:paraId="55B8E99D" w14:textId="77777777" w:rsidR="004C67B7" w:rsidRPr="00DB5740" w:rsidRDefault="005B5528" w:rsidP="004C67B7">
            <w:pPr>
              <w:pStyle w:val="BodyText"/>
              <w:spacing w:after="120"/>
              <w:rPr>
                <w:b/>
                <w:bCs/>
              </w:rPr>
            </w:pPr>
            <w:hyperlink r:id="rId148" w:history="1">
              <w:r w:rsidRPr="00DB5740">
                <w:rPr>
                  <w:rStyle w:val="Hyperlink"/>
                </w:rPr>
                <w:t>Audit Standard 3101</w:t>
              </w:r>
            </w:hyperlink>
            <w:r w:rsidRPr="00DB5740">
              <w:t xml:space="preserve"> requires the auditor to identify the CAM; describe the principal considerations that led the auditor to determine the mat</w:t>
            </w:r>
            <w:r w:rsidRPr="00DB5740">
              <w:t>ter is a CAM; describe how the CAM was addressed in the audit; and refer to the relevant financial statement accounts or disclosures</w:t>
            </w:r>
            <w:r w:rsidRPr="00DB5740">
              <w:rPr>
                <w:b/>
                <w:bCs/>
              </w:rPr>
              <w:t>.  PCAOB staff guidance indicates that the PCAOB staff expect</w:t>
            </w:r>
            <w:r>
              <w:rPr>
                <w:b/>
                <w:bCs/>
              </w:rPr>
              <w:t>s</w:t>
            </w:r>
            <w:r w:rsidRPr="00DB5740">
              <w:rPr>
                <w:b/>
                <w:bCs/>
              </w:rPr>
              <w:t xml:space="preserve"> that auditors will identify one or more CAMs in connection wi</w:t>
            </w:r>
            <w:r w:rsidRPr="00DB5740">
              <w:rPr>
                <w:b/>
                <w:bCs/>
              </w:rPr>
              <w:t>th each audit.</w:t>
            </w:r>
          </w:p>
          <w:p w14:paraId="31E700A1" w14:textId="77777777" w:rsidR="004C67B7" w:rsidRPr="00DB5740" w:rsidRDefault="005B5528" w:rsidP="004C67B7">
            <w:pPr>
              <w:spacing w:after="120"/>
            </w:pPr>
            <w:r w:rsidRPr="00DB5740">
              <w:t xml:space="preserve">Companies should discuss potential CAM disclosures with their auditors in advance of filing their Form </w:t>
            </w:r>
            <w:r>
              <w:t>10</w:t>
            </w:r>
            <w:r>
              <w:noBreakHyphen/>
              <w:t>K</w:t>
            </w:r>
            <w:r w:rsidRPr="00DB5740">
              <w:t xml:space="preserve"> reports to avoid unexpected disclosure in the auditor</w:t>
            </w:r>
            <w:r>
              <w:t>’</w:t>
            </w:r>
            <w:r w:rsidRPr="00DB5740">
              <w:t>s report on the financial statements.  Companies should also ensure that the di</w:t>
            </w:r>
            <w:r w:rsidRPr="00DB5740">
              <w:t>sclosure of CAMs is not inconsistent with other disclosures, such as MD&amp;A and the footnotes to the financial statements.</w:t>
            </w:r>
          </w:p>
        </w:tc>
        <w:tc>
          <w:tcPr>
            <w:tcW w:w="925" w:type="pct"/>
          </w:tcPr>
          <w:p w14:paraId="060FFD1A" w14:textId="77777777" w:rsidR="004C67B7" w:rsidRPr="00DB5740" w:rsidRDefault="005B5528" w:rsidP="004C67B7">
            <w:pPr>
              <w:pStyle w:val="BodyText"/>
              <w:spacing w:after="120"/>
            </w:pPr>
            <w:hyperlink r:id="rId149" w:history="1">
              <w:r w:rsidRPr="00DB5740">
                <w:rPr>
                  <w:rStyle w:val="Hyperlink"/>
                </w:rPr>
                <w:t>Audit Standard 3101</w:t>
              </w:r>
            </w:hyperlink>
          </w:p>
          <w:p w14:paraId="2E6D9567" w14:textId="77777777" w:rsidR="004C67B7" w:rsidRPr="00DB5740" w:rsidRDefault="005B5528" w:rsidP="004C67B7">
            <w:pPr>
              <w:pStyle w:val="BodyText"/>
              <w:spacing w:after="120"/>
            </w:pPr>
            <w:hyperlink r:id="rId150" w:history="1">
              <w:r w:rsidRPr="00DB5740">
                <w:rPr>
                  <w:rStyle w:val="Hyperlink"/>
                </w:rPr>
                <w:t>PCAOB News Release (June 1, 2017)</w:t>
              </w:r>
            </w:hyperlink>
          </w:p>
          <w:p w14:paraId="3D096AC8" w14:textId="77777777" w:rsidR="004C67B7" w:rsidRPr="009A4FC1" w:rsidRDefault="005B5528" w:rsidP="004C67B7">
            <w:pPr>
              <w:pStyle w:val="BodyText"/>
              <w:spacing w:after="120"/>
            </w:pPr>
            <w:hyperlink r:id="rId151" w:history="1">
              <w:r w:rsidRPr="00DB5740">
                <w:rPr>
                  <w:rStyle w:val="Hyperlink"/>
                </w:rPr>
                <w:t>PCAOB Staff Guidance: Implementation of Critical Audit Matters</w:t>
              </w:r>
            </w:hyperlink>
          </w:p>
          <w:p w14:paraId="2D5256BF" w14:textId="77777777" w:rsidR="004C67B7" w:rsidRPr="009A4FC1" w:rsidRDefault="005B5528" w:rsidP="004C67B7">
            <w:pPr>
              <w:pStyle w:val="BodyText"/>
              <w:spacing w:after="120"/>
            </w:pPr>
            <w:hyperlink r:id="rId152" w:history="1">
              <w:r w:rsidRPr="009A4FC1">
                <w:rPr>
                  <w:rStyle w:val="Hyperlink"/>
                </w:rPr>
                <w:t>New PCAOB Audit Standard for Audit Re</w:t>
              </w:r>
              <w:bookmarkStart w:id="95" w:name="_Hlt93478556"/>
              <w:bookmarkStart w:id="96" w:name="_Hlt93478557"/>
              <w:r w:rsidRPr="009A4FC1">
                <w:rPr>
                  <w:rStyle w:val="Hyperlink"/>
                </w:rPr>
                <w:t>p</w:t>
              </w:r>
              <w:bookmarkEnd w:id="95"/>
              <w:bookmarkEnd w:id="96"/>
              <w:r w:rsidRPr="009A4FC1">
                <w:rPr>
                  <w:rStyle w:val="Hyperlink"/>
                </w:rPr>
                <w:t>orts</w:t>
              </w:r>
            </w:hyperlink>
            <w:r w:rsidRPr="009A4FC1">
              <w:t xml:space="preserve"> (Goodwin alert)</w:t>
            </w:r>
          </w:p>
        </w:tc>
        <w:tc>
          <w:tcPr>
            <w:tcW w:w="585" w:type="pct"/>
            <w:tcBorders>
              <w:top w:val="single" w:sz="4" w:space="0" w:color="auto"/>
              <w:left w:val="single" w:sz="4" w:space="0" w:color="auto"/>
              <w:bottom w:val="single" w:sz="4" w:space="0" w:color="auto"/>
              <w:right w:val="single" w:sz="4" w:space="0" w:color="auto"/>
            </w:tcBorders>
          </w:tcPr>
          <w:p w14:paraId="4AD699EE" w14:textId="77777777" w:rsidR="004C67B7" w:rsidRPr="00DB5740" w:rsidRDefault="004C67B7" w:rsidP="004C67B7"/>
        </w:tc>
        <w:tc>
          <w:tcPr>
            <w:tcW w:w="314" w:type="pct"/>
            <w:gridSpan w:val="2"/>
            <w:tcBorders>
              <w:top w:val="single" w:sz="4" w:space="0" w:color="auto"/>
              <w:left w:val="single" w:sz="4" w:space="0" w:color="auto"/>
              <w:bottom w:val="single" w:sz="4" w:space="0" w:color="auto"/>
              <w:right w:val="single" w:sz="4" w:space="0" w:color="auto"/>
            </w:tcBorders>
            <w:vAlign w:val="center"/>
          </w:tcPr>
          <w:p w14:paraId="25DC104F"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066A802B"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03EDFD49" w14:textId="77777777" w:rsidTr="00DB5740">
        <w:trPr>
          <w:cantSplit/>
          <w:jc w:val="center"/>
        </w:trPr>
        <w:tc>
          <w:tcPr>
            <w:tcW w:w="5000" w:type="pct"/>
            <w:gridSpan w:val="7"/>
            <w:tcBorders>
              <w:top w:val="single" w:sz="4" w:space="0" w:color="auto"/>
              <w:bottom w:val="single" w:sz="4" w:space="0" w:color="auto"/>
            </w:tcBorders>
            <w:shd w:val="clear" w:color="auto" w:fill="D9D9D9"/>
          </w:tcPr>
          <w:p w14:paraId="71EF49C5" w14:textId="77777777" w:rsidR="004C67B7" w:rsidRPr="00DB5740" w:rsidRDefault="005B5528" w:rsidP="004C67B7">
            <w:pPr>
              <w:keepNext/>
              <w:keepLines/>
              <w:spacing w:after="120"/>
              <w:rPr>
                <w:b/>
                <w:bCs/>
              </w:rPr>
            </w:pPr>
            <w:r w:rsidRPr="00DB5740">
              <w:rPr>
                <w:b/>
                <w:bCs/>
              </w:rPr>
              <w:lastRenderedPageBreak/>
              <w:t>Item 9.  Changes in and Disagreements with Accountants</w:t>
            </w:r>
          </w:p>
        </w:tc>
      </w:tr>
      <w:tr w:rsidR="00000000" w14:paraId="779509E1" w14:textId="77777777" w:rsidTr="00BF4090">
        <w:trPr>
          <w:cantSplit/>
          <w:jc w:val="center"/>
        </w:trPr>
        <w:tc>
          <w:tcPr>
            <w:tcW w:w="685" w:type="pct"/>
            <w:tcBorders>
              <w:top w:val="single" w:sz="4" w:space="0" w:color="auto"/>
              <w:bottom w:val="single" w:sz="4" w:space="0" w:color="auto"/>
            </w:tcBorders>
          </w:tcPr>
          <w:p w14:paraId="5C1A9097" w14:textId="77777777" w:rsidR="004C67B7" w:rsidRPr="00DB5740" w:rsidRDefault="005B5528" w:rsidP="004C67B7">
            <w:r w:rsidRPr="00DB5740">
              <w:t>Item 9. Changes in and Disagreements with Accountants</w:t>
            </w:r>
          </w:p>
        </w:tc>
        <w:tc>
          <w:tcPr>
            <w:tcW w:w="584" w:type="pct"/>
            <w:tcBorders>
              <w:top w:val="single" w:sz="4" w:space="0" w:color="auto"/>
              <w:bottom w:val="single" w:sz="4" w:space="0" w:color="auto"/>
            </w:tcBorders>
          </w:tcPr>
          <w:p w14:paraId="0229DE1B" w14:textId="77777777" w:rsidR="004C67B7" w:rsidRPr="00DB5740" w:rsidRDefault="005B5528" w:rsidP="004C67B7">
            <w:pPr>
              <w:jc w:val="center"/>
            </w:pPr>
            <w:hyperlink r:id="rId153" w:anchor="229.304" w:history="1">
              <w:r w:rsidRPr="00DB5740">
                <w:rPr>
                  <w:rStyle w:val="Hyperlink"/>
                </w:rPr>
                <w:t>304(b)</w:t>
              </w:r>
            </w:hyperlink>
          </w:p>
        </w:tc>
        <w:tc>
          <w:tcPr>
            <w:tcW w:w="1907" w:type="pct"/>
            <w:tcBorders>
              <w:top w:val="single" w:sz="4" w:space="0" w:color="auto"/>
              <w:bottom w:val="single" w:sz="4" w:space="0" w:color="auto"/>
            </w:tcBorders>
          </w:tcPr>
          <w:p w14:paraId="1B3A5ED8" w14:textId="77777777" w:rsidR="004C67B7" w:rsidRPr="00DB5740" w:rsidRDefault="005B5528" w:rsidP="004C67B7">
            <w:pPr>
              <w:keepNext/>
              <w:keepLines/>
              <w:spacing w:after="120"/>
            </w:pPr>
            <w:r>
              <w:t>If there was a disagreement in connection with a change in accountants, disclosure will be required under this Item.  Note that i</w:t>
            </w:r>
            <w:r w:rsidRPr="005E0096">
              <w:t>f the company is disclosing any disagreements with accountants</w:t>
            </w:r>
            <w:r>
              <w:t xml:space="preserve"> </w:t>
            </w:r>
            <w:r w:rsidRPr="005E0096">
              <w:t>and there was 8-K di</w:t>
            </w:r>
            <w:r w:rsidRPr="005E0096">
              <w:t>sclosure</w:t>
            </w:r>
            <w:r>
              <w:t xml:space="preserve"> </w:t>
            </w:r>
            <w:r w:rsidRPr="005E0096">
              <w:t>of such a disagreement, such</w:t>
            </w:r>
            <w:r>
              <w:t xml:space="preserve"> </w:t>
            </w:r>
            <w:r w:rsidRPr="005E0096">
              <w:t>disclosure must be repeated in the 10-K pursuant to Instruction 1</w:t>
            </w:r>
            <w:r>
              <w:t xml:space="preserve"> </w:t>
            </w:r>
            <w:r w:rsidRPr="005E0096">
              <w:t>to Item</w:t>
            </w:r>
            <w:r>
              <w:t xml:space="preserve"> </w:t>
            </w:r>
            <w:r w:rsidRPr="005E0096">
              <w:t>304(b) of Regulation S-K</w:t>
            </w:r>
            <w:r>
              <w:t>.</w:t>
            </w:r>
          </w:p>
        </w:tc>
        <w:tc>
          <w:tcPr>
            <w:tcW w:w="925" w:type="pct"/>
            <w:tcBorders>
              <w:top w:val="single" w:sz="4" w:space="0" w:color="auto"/>
              <w:bottom w:val="single" w:sz="4" w:space="0" w:color="auto"/>
            </w:tcBorders>
          </w:tcPr>
          <w:p w14:paraId="29553E51" w14:textId="77777777" w:rsidR="004C67B7" w:rsidRPr="00DB5740" w:rsidRDefault="004C67B7" w:rsidP="004C67B7">
            <w:pPr>
              <w:spacing w:after="120"/>
            </w:pPr>
          </w:p>
        </w:tc>
        <w:tc>
          <w:tcPr>
            <w:tcW w:w="585" w:type="pct"/>
            <w:tcBorders>
              <w:top w:val="single" w:sz="4" w:space="0" w:color="auto"/>
              <w:bottom w:val="single" w:sz="4" w:space="0" w:color="auto"/>
            </w:tcBorders>
          </w:tcPr>
          <w:p w14:paraId="46447C99" w14:textId="77777777" w:rsidR="004C67B7" w:rsidRPr="00DB5740" w:rsidRDefault="004C67B7" w:rsidP="004C67B7"/>
        </w:tc>
        <w:tc>
          <w:tcPr>
            <w:tcW w:w="314" w:type="pct"/>
            <w:gridSpan w:val="2"/>
            <w:tcBorders>
              <w:top w:val="single" w:sz="4" w:space="0" w:color="auto"/>
              <w:bottom w:val="single" w:sz="4" w:space="0" w:color="auto"/>
            </w:tcBorders>
            <w:vAlign w:val="center"/>
          </w:tcPr>
          <w:p w14:paraId="4C6CC4E2"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03CA0100"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0BDA2870" w14:textId="77777777" w:rsidTr="00DB5740">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2BA8F560" w14:textId="77777777" w:rsidR="004C67B7" w:rsidRPr="00DB5740" w:rsidRDefault="005B5528" w:rsidP="004C67B7">
            <w:pPr>
              <w:keepNext/>
              <w:keepLines/>
              <w:autoSpaceDE w:val="0"/>
              <w:autoSpaceDN w:val="0"/>
              <w:adjustRightInd w:val="0"/>
              <w:spacing w:after="120"/>
              <w:rPr>
                <w:b/>
                <w:bCs/>
              </w:rPr>
            </w:pPr>
            <w:r w:rsidRPr="00DB5740">
              <w:rPr>
                <w:b/>
                <w:bCs/>
              </w:rPr>
              <w:lastRenderedPageBreak/>
              <w:t>Item 9A. Controls and Procedures</w:t>
            </w:r>
          </w:p>
        </w:tc>
      </w:tr>
      <w:tr w:rsidR="00000000" w14:paraId="443B14D2"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FFFFFF"/>
          </w:tcPr>
          <w:p w14:paraId="4B4E0BE1" w14:textId="77777777" w:rsidR="004C67B7" w:rsidRPr="00DB5740" w:rsidRDefault="005B5528" w:rsidP="004C67B7">
            <w:pPr>
              <w:keepNext/>
              <w:keepLines/>
              <w:rPr>
                <w:bCs/>
              </w:rPr>
            </w:pPr>
            <w:r w:rsidRPr="00DB5740">
              <w:rPr>
                <w:bCs/>
              </w:rPr>
              <w:t>Item 9A. Controls and Procedures</w:t>
            </w:r>
          </w:p>
          <w:p w14:paraId="0C2AA39D" w14:textId="77777777" w:rsidR="004C67B7" w:rsidRPr="00DB5740" w:rsidRDefault="004C67B7" w:rsidP="004C67B7">
            <w:pPr>
              <w:keepNext/>
              <w:keepLines/>
              <w:rPr>
                <w:bCs/>
              </w:rPr>
            </w:pPr>
          </w:p>
          <w:p w14:paraId="5AD36E96" w14:textId="77777777" w:rsidR="004C67B7" w:rsidRPr="00DB5740" w:rsidRDefault="005B5528" w:rsidP="004C67B7">
            <w:pPr>
              <w:keepNext/>
              <w:keepLines/>
              <w:rPr>
                <w:bCs/>
              </w:rPr>
            </w:pPr>
            <w:r w:rsidRPr="00DB5740">
              <w:rPr>
                <w:bCs/>
              </w:rPr>
              <w:t>[Disclosure Controls and Procedures</w:t>
            </w:r>
            <w:r w:rsidRPr="00DB5740">
              <w:rPr>
                <w:bCs/>
              </w:rPr>
              <w:t>]</w:t>
            </w:r>
          </w:p>
        </w:tc>
        <w:tc>
          <w:tcPr>
            <w:tcW w:w="584" w:type="pct"/>
            <w:tcBorders>
              <w:top w:val="single" w:sz="4" w:space="0" w:color="auto"/>
              <w:bottom w:val="single" w:sz="4" w:space="0" w:color="auto"/>
            </w:tcBorders>
            <w:shd w:val="clear" w:color="auto" w:fill="FFFFFF"/>
          </w:tcPr>
          <w:p w14:paraId="7C46654D" w14:textId="77777777" w:rsidR="004C67B7" w:rsidRPr="00DB5740" w:rsidRDefault="005B5528" w:rsidP="004C67B7">
            <w:pPr>
              <w:keepNext/>
              <w:keepLines/>
              <w:jc w:val="center"/>
            </w:pPr>
            <w:hyperlink r:id="rId154" w:anchor="229.307" w:history="1">
              <w:r w:rsidRPr="00DB5740">
                <w:rPr>
                  <w:rStyle w:val="Hyperlink"/>
                </w:rPr>
                <w:t>307</w:t>
              </w:r>
            </w:hyperlink>
          </w:p>
        </w:tc>
        <w:tc>
          <w:tcPr>
            <w:tcW w:w="1907" w:type="pct"/>
            <w:tcBorders>
              <w:top w:val="single" w:sz="4" w:space="0" w:color="auto"/>
              <w:bottom w:val="single" w:sz="4" w:space="0" w:color="auto"/>
            </w:tcBorders>
            <w:shd w:val="clear" w:color="auto" w:fill="FFFFFF"/>
          </w:tcPr>
          <w:p w14:paraId="33A941FF" w14:textId="77777777" w:rsidR="004C67B7" w:rsidRPr="00DB5740" w:rsidRDefault="005B5528" w:rsidP="004C67B7">
            <w:pPr>
              <w:keepNext/>
              <w:keepLines/>
              <w:spacing w:after="120"/>
            </w:pPr>
            <w:r w:rsidRPr="00DB5740">
              <w:t>The company</w:t>
            </w:r>
            <w:r>
              <w:t>’</w:t>
            </w:r>
            <w:r w:rsidRPr="00DB5740">
              <w:t>s CEO and CFO must disclose their conclusions about the effectiveness of the company</w:t>
            </w:r>
            <w:r>
              <w:t>’</w:t>
            </w:r>
            <w:r w:rsidRPr="00DB5740">
              <w:t xml:space="preserve">s disclosure controls and procedures </w:t>
            </w:r>
            <w:r w:rsidRPr="00DB5740">
              <w:rPr>
                <w:b/>
                <w:bCs/>
              </w:rPr>
              <w:t>as of the end of the period</w:t>
            </w:r>
            <w:r w:rsidRPr="00DB5740">
              <w:t xml:space="preserve"> </w:t>
            </w:r>
            <w:r w:rsidRPr="00DB5740">
              <w:t>covered by the report, based on the evaluation of these controls and procedures required by paragraph (b) of Exchange Act Rule 13a-15.</w:t>
            </w:r>
          </w:p>
        </w:tc>
        <w:tc>
          <w:tcPr>
            <w:tcW w:w="925" w:type="pct"/>
            <w:tcBorders>
              <w:top w:val="single" w:sz="4" w:space="0" w:color="auto"/>
              <w:bottom w:val="single" w:sz="4" w:space="0" w:color="auto"/>
            </w:tcBorders>
            <w:shd w:val="clear" w:color="auto" w:fill="FFFFFF"/>
          </w:tcPr>
          <w:p w14:paraId="7F559366" w14:textId="77777777" w:rsidR="004C67B7" w:rsidRPr="00DB5740" w:rsidRDefault="004C67B7" w:rsidP="004C67B7">
            <w:pPr>
              <w:spacing w:after="120"/>
            </w:pPr>
          </w:p>
        </w:tc>
        <w:tc>
          <w:tcPr>
            <w:tcW w:w="585" w:type="pct"/>
            <w:tcBorders>
              <w:top w:val="single" w:sz="4" w:space="0" w:color="auto"/>
              <w:bottom w:val="single" w:sz="4" w:space="0" w:color="auto"/>
              <w:right w:val="single" w:sz="4" w:space="0" w:color="auto"/>
            </w:tcBorders>
            <w:shd w:val="clear" w:color="auto" w:fill="FFFFFF"/>
          </w:tcPr>
          <w:p w14:paraId="1104A000" w14:textId="77777777" w:rsidR="004C67B7" w:rsidRPr="00DB5740" w:rsidRDefault="004C67B7" w:rsidP="004C67B7">
            <w:pPr>
              <w:autoSpaceDE w:val="0"/>
              <w:autoSpaceDN w:val="0"/>
              <w:adjustRightInd w:val="0"/>
            </w:pPr>
          </w:p>
        </w:tc>
        <w:tc>
          <w:tcPr>
            <w:tcW w:w="314" w:type="pct"/>
            <w:gridSpan w:val="2"/>
            <w:tcBorders>
              <w:top w:val="single" w:sz="4" w:space="0" w:color="auto"/>
              <w:bottom w:val="single" w:sz="4" w:space="0" w:color="auto"/>
              <w:right w:val="single" w:sz="4" w:space="0" w:color="auto"/>
            </w:tcBorders>
            <w:shd w:val="clear" w:color="auto" w:fill="FFFFFF"/>
            <w:vAlign w:val="center"/>
          </w:tcPr>
          <w:p w14:paraId="797AE1DC"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7A37A829" w14:textId="77777777" w:rsidR="004C67B7" w:rsidRPr="00DB5740" w:rsidRDefault="005B5528" w:rsidP="004C67B7">
            <w:pPr>
              <w:autoSpaceDE w:val="0"/>
              <w:autoSpaceDN w:val="0"/>
              <w:adjustRightInd w:val="0"/>
              <w:jc w:val="center"/>
            </w:pPr>
            <w:r w:rsidRPr="00DB5740">
              <w:t xml:space="preserve">No  </w:t>
            </w:r>
            <w:r w:rsidRPr="00DB5740">
              <w:rPr>
                <w:rFonts w:ascii="Segoe UI Symbol" w:eastAsia="MS Gothic" w:hAnsi="Segoe UI Symbol" w:cs="Segoe UI Symbol"/>
              </w:rPr>
              <w:t>☐</w:t>
            </w:r>
          </w:p>
        </w:tc>
      </w:tr>
      <w:tr w:rsidR="00000000" w14:paraId="3AE14181"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FFFFFF"/>
          </w:tcPr>
          <w:p w14:paraId="299A93BB" w14:textId="77777777" w:rsidR="004C67B7" w:rsidRPr="00DB5740" w:rsidRDefault="005B5528" w:rsidP="004C67B7">
            <w:pPr>
              <w:rPr>
                <w:bCs/>
              </w:rPr>
            </w:pPr>
            <w:r w:rsidRPr="00DB5740">
              <w:rPr>
                <w:bCs/>
              </w:rPr>
              <w:t>Item 9A. Controls and Procedures</w:t>
            </w:r>
          </w:p>
          <w:p w14:paraId="2A2245CD" w14:textId="77777777" w:rsidR="004C67B7" w:rsidRPr="00DB5740" w:rsidRDefault="004C67B7" w:rsidP="004C67B7">
            <w:pPr>
              <w:rPr>
                <w:bCs/>
              </w:rPr>
            </w:pPr>
          </w:p>
          <w:p w14:paraId="7FDC8D47" w14:textId="77777777" w:rsidR="004C67B7" w:rsidRPr="00DB5740" w:rsidRDefault="005B5528" w:rsidP="004C67B7">
            <w:pPr>
              <w:rPr>
                <w:b/>
                <w:i/>
                <w:color w:val="FF0000"/>
              </w:rPr>
            </w:pPr>
            <w:r w:rsidRPr="00DB5740">
              <w:rPr>
                <w:bCs/>
              </w:rPr>
              <w:t>[Management</w:t>
            </w:r>
            <w:r>
              <w:rPr>
                <w:bCs/>
              </w:rPr>
              <w:t>’</w:t>
            </w:r>
            <w:r w:rsidRPr="00DB5740">
              <w:rPr>
                <w:bCs/>
              </w:rPr>
              <w:t>s Annual Report on Internal Control Over Financial Reporting</w:t>
            </w:r>
            <w:r w:rsidRPr="00DB5740">
              <w:rPr>
                <w:bCs/>
              </w:rPr>
              <w:t>]</w:t>
            </w:r>
          </w:p>
          <w:p w14:paraId="4B24EBC1" w14:textId="77777777" w:rsidR="004C67B7" w:rsidRPr="00DB5740" w:rsidRDefault="004C67B7" w:rsidP="004C67B7">
            <w:pPr>
              <w:pStyle w:val="BodyText"/>
              <w:rPr>
                <w:b/>
                <w:i/>
                <w:color w:val="FF0000"/>
              </w:rPr>
            </w:pPr>
          </w:p>
        </w:tc>
        <w:tc>
          <w:tcPr>
            <w:tcW w:w="584" w:type="pct"/>
            <w:tcBorders>
              <w:top w:val="single" w:sz="4" w:space="0" w:color="auto"/>
              <w:bottom w:val="single" w:sz="4" w:space="0" w:color="auto"/>
            </w:tcBorders>
            <w:shd w:val="clear" w:color="auto" w:fill="FFFFFF"/>
          </w:tcPr>
          <w:p w14:paraId="62753AD4" w14:textId="77777777" w:rsidR="004C67B7" w:rsidRPr="00DB5740" w:rsidRDefault="005B5528" w:rsidP="004C67B7">
            <w:pPr>
              <w:jc w:val="center"/>
            </w:pPr>
            <w:hyperlink r:id="rId155" w:anchor="229.308" w:history="1">
              <w:r w:rsidRPr="00DB5740">
                <w:rPr>
                  <w:rStyle w:val="Hyperlink"/>
                </w:rPr>
                <w:t>308(a)</w:t>
              </w:r>
            </w:hyperlink>
          </w:p>
        </w:tc>
        <w:tc>
          <w:tcPr>
            <w:tcW w:w="1907" w:type="pct"/>
            <w:tcBorders>
              <w:top w:val="single" w:sz="4" w:space="0" w:color="auto"/>
              <w:bottom w:val="single" w:sz="4" w:space="0" w:color="auto"/>
            </w:tcBorders>
            <w:shd w:val="clear" w:color="auto" w:fill="FFFFFF"/>
          </w:tcPr>
          <w:p w14:paraId="465ED08D" w14:textId="77777777" w:rsidR="004C67B7" w:rsidRPr="00DB5740" w:rsidRDefault="005B5528" w:rsidP="004C67B7">
            <w:pPr>
              <w:spacing w:after="120"/>
              <w:rPr>
                <w:b/>
                <w:bCs/>
              </w:rPr>
            </w:pPr>
            <w:r w:rsidRPr="00DB5740">
              <w:rPr>
                <w:b/>
                <w:bCs/>
              </w:rPr>
              <w:t>Management</w:t>
            </w:r>
            <w:r>
              <w:rPr>
                <w:b/>
                <w:bCs/>
              </w:rPr>
              <w:t>’</w:t>
            </w:r>
            <w:r w:rsidRPr="00DB5740">
              <w:rPr>
                <w:b/>
                <w:bCs/>
              </w:rPr>
              <w:t xml:space="preserve">s Report on Internal Control Over Financial Reporting </w:t>
            </w:r>
          </w:p>
          <w:p w14:paraId="3E737C87" w14:textId="77777777" w:rsidR="004C67B7" w:rsidRPr="00DB5740" w:rsidRDefault="005B5528" w:rsidP="004C67B7">
            <w:pPr>
              <w:spacing w:after="120"/>
            </w:pPr>
            <w:r w:rsidRPr="00DB5740">
              <w:t>Beginning with the company</w:t>
            </w:r>
            <w:r>
              <w:t>’</w:t>
            </w:r>
            <w:r w:rsidRPr="00DB5740">
              <w:t xml:space="preserve">s first Form </w:t>
            </w:r>
            <w:r>
              <w:t>10</w:t>
            </w:r>
            <w:r>
              <w:noBreakHyphen/>
              <w:t>K</w:t>
            </w:r>
            <w:r w:rsidRPr="00DB5740">
              <w:t xml:space="preserve"> report that is subject to this requirement, and</w:t>
            </w:r>
            <w:r w:rsidRPr="00DB5740">
              <w:t xml:space="preserve"> in subsequent interim reports, the company</w:t>
            </w:r>
            <w:r>
              <w:t>’</w:t>
            </w:r>
            <w:r w:rsidRPr="00DB5740">
              <w:t xml:space="preserve">s Form 10-Q and Form </w:t>
            </w:r>
            <w:r>
              <w:t>10</w:t>
            </w:r>
            <w:r>
              <w:noBreakHyphen/>
              <w:t>K</w:t>
            </w:r>
            <w:r w:rsidRPr="00DB5740">
              <w:t xml:space="preserve"> reports must include:</w:t>
            </w:r>
          </w:p>
          <w:p w14:paraId="6F7D0F92" w14:textId="77777777" w:rsidR="004C67B7" w:rsidRPr="00DB5740" w:rsidRDefault="005B5528" w:rsidP="004C67B7">
            <w:pPr>
              <w:pStyle w:val="BodyText"/>
              <w:numPr>
                <w:ilvl w:val="0"/>
                <w:numId w:val="13"/>
              </w:numPr>
              <w:spacing w:after="120"/>
              <w:ind w:left="421"/>
            </w:pPr>
            <w:r w:rsidRPr="00DB5740">
              <w:t>a statement that management is responsible for establishing and maintaining adequate internal control over financial reporting,</w:t>
            </w:r>
          </w:p>
          <w:p w14:paraId="2BCB4DA6" w14:textId="77777777" w:rsidR="004C67B7" w:rsidRPr="00DB5740" w:rsidRDefault="005B5528" w:rsidP="004C67B7">
            <w:pPr>
              <w:pStyle w:val="BodyText"/>
              <w:numPr>
                <w:ilvl w:val="0"/>
                <w:numId w:val="13"/>
              </w:numPr>
              <w:spacing w:after="120"/>
              <w:ind w:left="421"/>
            </w:pPr>
            <w:r w:rsidRPr="00DB5740">
              <w:t>a statement identifying the framewor</w:t>
            </w:r>
            <w:r w:rsidRPr="00DB5740">
              <w:t>k used by management to evaluate the effectiveness of the company</w:t>
            </w:r>
            <w:r>
              <w:t>’</w:t>
            </w:r>
            <w:r w:rsidRPr="00DB5740">
              <w:t>s internal control over financial reporting, and</w:t>
            </w:r>
          </w:p>
          <w:p w14:paraId="316EABA7" w14:textId="77777777" w:rsidR="004C67B7" w:rsidRPr="00DB5740" w:rsidRDefault="005B5528" w:rsidP="004C67B7">
            <w:pPr>
              <w:pStyle w:val="BodyText"/>
              <w:numPr>
                <w:ilvl w:val="0"/>
                <w:numId w:val="13"/>
              </w:numPr>
              <w:spacing w:after="120"/>
              <w:ind w:left="421"/>
            </w:pPr>
            <w:r w:rsidRPr="00DB5740">
              <w:t>management</w:t>
            </w:r>
            <w:r>
              <w:t>’</w:t>
            </w:r>
            <w:r w:rsidRPr="00DB5740">
              <w:t>s specific assessment of the company</w:t>
            </w:r>
            <w:r>
              <w:t>’</w:t>
            </w:r>
            <w:r w:rsidRPr="00DB5740">
              <w:t>s internal control over financial reporting, including (1) a statement as to whether or not i</w:t>
            </w:r>
            <w:r w:rsidRPr="00DB5740">
              <w:t>nternal control over financial reporting is effective and (2) disclosure of any material weakness.</w:t>
            </w:r>
          </w:p>
        </w:tc>
        <w:tc>
          <w:tcPr>
            <w:tcW w:w="925" w:type="pct"/>
            <w:tcBorders>
              <w:top w:val="single" w:sz="4" w:space="0" w:color="auto"/>
              <w:bottom w:val="single" w:sz="4" w:space="0" w:color="auto"/>
            </w:tcBorders>
            <w:shd w:val="clear" w:color="auto" w:fill="FFFFFF"/>
          </w:tcPr>
          <w:p w14:paraId="7DBBF10B" w14:textId="77777777" w:rsidR="004C67B7" w:rsidRPr="00DB5740" w:rsidRDefault="004C67B7" w:rsidP="004C67B7">
            <w:pPr>
              <w:spacing w:after="120"/>
            </w:pPr>
          </w:p>
        </w:tc>
        <w:tc>
          <w:tcPr>
            <w:tcW w:w="585" w:type="pct"/>
            <w:tcBorders>
              <w:top w:val="single" w:sz="4" w:space="0" w:color="auto"/>
              <w:bottom w:val="single" w:sz="4" w:space="0" w:color="auto"/>
              <w:right w:val="single" w:sz="4" w:space="0" w:color="auto"/>
            </w:tcBorders>
            <w:shd w:val="clear" w:color="auto" w:fill="FFFFFF"/>
          </w:tcPr>
          <w:p w14:paraId="2E1B28DC" w14:textId="77777777" w:rsidR="004C67B7" w:rsidRPr="00DB5740" w:rsidRDefault="004C67B7" w:rsidP="004C67B7">
            <w:pPr>
              <w:rPr>
                <w:i/>
                <w:iCs/>
              </w:rPr>
            </w:pPr>
          </w:p>
        </w:tc>
        <w:tc>
          <w:tcPr>
            <w:tcW w:w="314" w:type="pct"/>
            <w:gridSpan w:val="2"/>
            <w:tcBorders>
              <w:top w:val="single" w:sz="4" w:space="0" w:color="auto"/>
              <w:bottom w:val="single" w:sz="4" w:space="0" w:color="auto"/>
              <w:right w:val="single" w:sz="4" w:space="0" w:color="auto"/>
            </w:tcBorders>
            <w:shd w:val="clear" w:color="auto" w:fill="FFFFFF"/>
            <w:vAlign w:val="center"/>
          </w:tcPr>
          <w:p w14:paraId="62FB4F1F"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5E1731E0"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236C63F6"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auto"/>
          </w:tcPr>
          <w:p w14:paraId="6E9AD79D" w14:textId="77777777" w:rsidR="004C67B7" w:rsidRPr="00DB5740" w:rsidRDefault="004C67B7" w:rsidP="004C67B7">
            <w:pPr>
              <w:rPr>
                <w:bCs/>
              </w:rPr>
            </w:pPr>
          </w:p>
        </w:tc>
        <w:tc>
          <w:tcPr>
            <w:tcW w:w="584" w:type="pct"/>
            <w:tcBorders>
              <w:top w:val="single" w:sz="4" w:space="0" w:color="auto"/>
              <w:bottom w:val="single" w:sz="4" w:space="0" w:color="auto"/>
            </w:tcBorders>
            <w:shd w:val="clear" w:color="auto" w:fill="auto"/>
          </w:tcPr>
          <w:p w14:paraId="454E9580" w14:textId="77777777" w:rsidR="004C67B7" w:rsidRPr="00DB5740" w:rsidRDefault="005B5528" w:rsidP="004C67B7">
            <w:pPr>
              <w:jc w:val="center"/>
            </w:pPr>
            <w:hyperlink r:id="rId156" w:anchor="229.308" w:history="1">
              <w:r w:rsidRPr="00DB5740">
                <w:rPr>
                  <w:rStyle w:val="Hyperlink"/>
                </w:rPr>
                <w:t>308(a)</w:t>
              </w:r>
            </w:hyperlink>
          </w:p>
        </w:tc>
        <w:tc>
          <w:tcPr>
            <w:tcW w:w="1907" w:type="pct"/>
            <w:tcBorders>
              <w:top w:val="single" w:sz="4" w:space="0" w:color="auto"/>
              <w:bottom w:val="single" w:sz="4" w:space="0" w:color="auto"/>
            </w:tcBorders>
            <w:shd w:val="clear" w:color="auto" w:fill="auto"/>
          </w:tcPr>
          <w:p w14:paraId="72CA25E4" w14:textId="77777777" w:rsidR="004C67B7" w:rsidRPr="00DB5740" w:rsidRDefault="005B5528" w:rsidP="004C67B7">
            <w:pPr>
              <w:spacing w:after="120"/>
              <w:rPr>
                <w:szCs w:val="24"/>
              </w:rPr>
            </w:pPr>
            <w:r w:rsidRPr="00DB5740">
              <w:rPr>
                <w:szCs w:val="24"/>
              </w:rPr>
              <w:t>Companies should note the following:</w:t>
            </w:r>
          </w:p>
          <w:p w14:paraId="501C863A" w14:textId="77777777" w:rsidR="004C67B7" w:rsidRPr="00DB5740" w:rsidRDefault="005B5528" w:rsidP="004C67B7">
            <w:pPr>
              <w:pStyle w:val="ListBullet"/>
            </w:pPr>
            <w:r w:rsidRPr="00DB5740">
              <w:t>The repor</w:t>
            </w:r>
            <w:r w:rsidRPr="00DB5740">
              <w:t>t must be a positive assertion (</w:t>
            </w:r>
            <w:r w:rsidRPr="00DB5740">
              <w:rPr>
                <w:i/>
              </w:rPr>
              <w:t xml:space="preserve">i.e., </w:t>
            </w:r>
            <w:r>
              <w:t>“</w:t>
            </w:r>
            <w:r w:rsidRPr="00DB5740">
              <w:t>…the internal control over financial reporting is effective…</w:t>
            </w:r>
            <w:r>
              <w:t>”</w:t>
            </w:r>
            <w:r w:rsidRPr="00DB5740">
              <w:t>), rather than a lesser statement (</w:t>
            </w:r>
            <w:r w:rsidRPr="00DB5740">
              <w:rPr>
                <w:i/>
              </w:rPr>
              <w:t>e.g.,</w:t>
            </w:r>
            <w:r w:rsidRPr="00DB5740">
              <w:t xml:space="preserve"> </w:t>
            </w:r>
            <w:r>
              <w:t>“</w:t>
            </w:r>
            <w:r w:rsidRPr="00DB5740">
              <w:t>…the internal control over financial reporting is sufficient…</w:t>
            </w:r>
            <w:r>
              <w:t>”</w:t>
            </w:r>
            <w:r w:rsidRPr="00DB5740">
              <w:t>) or a negative assurance statement (</w:t>
            </w:r>
            <w:r w:rsidRPr="00DB5740">
              <w:rPr>
                <w:i/>
              </w:rPr>
              <w:t xml:space="preserve">e.g.., </w:t>
            </w:r>
            <w:r>
              <w:t>“</w:t>
            </w:r>
            <w:r w:rsidRPr="00DB5740">
              <w:t>…nothin</w:t>
            </w:r>
            <w:r w:rsidRPr="00DB5740">
              <w:t>g has come to our attention that leads us to believe that internal control over financial reporting is not effective…</w:t>
            </w:r>
            <w:r>
              <w:t>”</w:t>
            </w:r>
            <w:r w:rsidRPr="00DB5740">
              <w:t>).</w:t>
            </w:r>
          </w:p>
          <w:p w14:paraId="71563636" w14:textId="77777777" w:rsidR="004C67B7" w:rsidRPr="00DB5740" w:rsidRDefault="005B5528" w:rsidP="004C67B7">
            <w:pPr>
              <w:pStyle w:val="ListBullet"/>
            </w:pPr>
            <w:r w:rsidRPr="00DB5740">
              <w:t xml:space="preserve">The evaluation must be supported with sufficient evidence, including documentation (Instruction </w:t>
            </w:r>
            <w:r>
              <w:t>2</w:t>
            </w:r>
            <w:r w:rsidRPr="00DB5740">
              <w:t xml:space="preserve"> to Item 308).</w:t>
            </w:r>
          </w:p>
          <w:p w14:paraId="136A98FA" w14:textId="77777777" w:rsidR="004C67B7" w:rsidRPr="00C57642" w:rsidRDefault="005B5528" w:rsidP="004C67B7">
            <w:pPr>
              <w:pStyle w:val="ListBullet"/>
            </w:pPr>
            <w:r w:rsidRPr="00DB5740">
              <w:t>If one or more material</w:t>
            </w:r>
            <w:r w:rsidRPr="00DB5740">
              <w:t xml:space="preserve"> weaknesses exist, management cannot conclude that internal control over financial reporting is effective (Item 308(a)(3)).</w:t>
            </w:r>
          </w:p>
        </w:tc>
        <w:tc>
          <w:tcPr>
            <w:tcW w:w="925" w:type="pct"/>
            <w:tcBorders>
              <w:top w:val="single" w:sz="4" w:space="0" w:color="auto"/>
              <w:bottom w:val="single" w:sz="4" w:space="0" w:color="auto"/>
            </w:tcBorders>
            <w:shd w:val="clear" w:color="auto" w:fill="auto"/>
          </w:tcPr>
          <w:p w14:paraId="7B7B5CE6" w14:textId="77777777" w:rsidR="004C67B7" w:rsidRPr="00DB5740" w:rsidRDefault="004C67B7" w:rsidP="004C67B7">
            <w:pPr>
              <w:spacing w:after="120"/>
            </w:pPr>
          </w:p>
        </w:tc>
        <w:tc>
          <w:tcPr>
            <w:tcW w:w="585" w:type="pct"/>
            <w:tcBorders>
              <w:top w:val="single" w:sz="4" w:space="0" w:color="auto"/>
              <w:bottom w:val="single" w:sz="4" w:space="0" w:color="auto"/>
              <w:right w:val="single" w:sz="4" w:space="0" w:color="auto"/>
            </w:tcBorders>
            <w:shd w:val="clear" w:color="auto" w:fill="auto"/>
          </w:tcPr>
          <w:p w14:paraId="46A7D898" w14:textId="77777777" w:rsidR="004C67B7" w:rsidRPr="00DB5740" w:rsidRDefault="004C67B7" w:rsidP="004C67B7">
            <w:pPr>
              <w:pStyle w:val="ListBullet"/>
              <w:numPr>
                <w:ilvl w:val="0"/>
                <w:numId w:val="0"/>
              </w:numPr>
              <w:ind w:left="778"/>
            </w:pPr>
          </w:p>
        </w:tc>
        <w:tc>
          <w:tcPr>
            <w:tcW w:w="314" w:type="pct"/>
            <w:gridSpan w:val="2"/>
            <w:tcBorders>
              <w:top w:val="single" w:sz="4" w:space="0" w:color="auto"/>
              <w:bottom w:val="single" w:sz="4" w:space="0" w:color="auto"/>
              <w:right w:val="single" w:sz="4" w:space="0" w:color="auto"/>
            </w:tcBorders>
            <w:shd w:val="clear" w:color="auto" w:fill="auto"/>
            <w:vAlign w:val="center"/>
          </w:tcPr>
          <w:p w14:paraId="302D0E92"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4B94B83A"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1A92E6D8"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auto"/>
          </w:tcPr>
          <w:p w14:paraId="10439482" w14:textId="77777777" w:rsidR="004C67B7" w:rsidRPr="00DB5740" w:rsidRDefault="004C67B7" w:rsidP="004C67B7">
            <w:pPr>
              <w:rPr>
                <w:bCs/>
                <w:i/>
                <w:iCs/>
              </w:rPr>
            </w:pPr>
          </w:p>
        </w:tc>
        <w:tc>
          <w:tcPr>
            <w:tcW w:w="584" w:type="pct"/>
            <w:tcBorders>
              <w:top w:val="single" w:sz="4" w:space="0" w:color="auto"/>
              <w:bottom w:val="single" w:sz="4" w:space="0" w:color="auto"/>
            </w:tcBorders>
            <w:shd w:val="clear" w:color="auto" w:fill="auto"/>
          </w:tcPr>
          <w:p w14:paraId="0BA5054A" w14:textId="77777777" w:rsidR="004C67B7" w:rsidRPr="00DB5740" w:rsidRDefault="005B5528" w:rsidP="004C67B7">
            <w:pPr>
              <w:jc w:val="center"/>
            </w:pPr>
            <w:hyperlink r:id="rId157" w:anchor="229.308" w:history="1">
              <w:r w:rsidRPr="00DB5740">
                <w:rPr>
                  <w:rStyle w:val="Hyperlink"/>
                </w:rPr>
                <w:t>3</w:t>
              </w:r>
              <w:bookmarkStart w:id="97" w:name="_Hlt93912035"/>
              <w:bookmarkStart w:id="98" w:name="_Hlt93912036"/>
              <w:r w:rsidRPr="00DB5740">
                <w:rPr>
                  <w:rStyle w:val="Hyperlink"/>
                </w:rPr>
                <w:t>0</w:t>
              </w:r>
              <w:bookmarkEnd w:id="97"/>
              <w:bookmarkEnd w:id="98"/>
              <w:r w:rsidRPr="00DB5740">
                <w:rPr>
                  <w:rStyle w:val="Hyperlink"/>
                </w:rPr>
                <w:t>8(a)(4)</w:t>
              </w:r>
            </w:hyperlink>
          </w:p>
        </w:tc>
        <w:tc>
          <w:tcPr>
            <w:tcW w:w="1907" w:type="pct"/>
            <w:tcBorders>
              <w:top w:val="single" w:sz="4" w:space="0" w:color="auto"/>
              <w:bottom w:val="single" w:sz="4" w:space="0" w:color="auto"/>
            </w:tcBorders>
            <w:shd w:val="clear" w:color="auto" w:fill="auto"/>
          </w:tcPr>
          <w:p w14:paraId="54C894FD" w14:textId="77777777" w:rsidR="004C67B7" w:rsidRPr="00DB5740" w:rsidRDefault="005B5528" w:rsidP="004C67B7">
            <w:pPr>
              <w:spacing w:after="120"/>
              <w:rPr>
                <w:sz w:val="23"/>
                <w:szCs w:val="23"/>
              </w:rPr>
            </w:pPr>
            <w:r w:rsidRPr="00DB5740">
              <w:rPr>
                <w:szCs w:val="24"/>
              </w:rPr>
              <w:t xml:space="preserve">Item 308(a)(4) of </w:t>
            </w:r>
            <w:r w:rsidRPr="00DB5740">
              <w:rPr>
                <w:szCs w:val="24"/>
              </w:rPr>
              <w:t>Regulation S-K requires that if the company is a large accelerated filer or an accelerated filer or if company has otherwise included</w:t>
            </w:r>
            <w:r w:rsidRPr="00DB5740">
              <w:rPr>
                <w:sz w:val="23"/>
                <w:szCs w:val="23"/>
              </w:rPr>
              <w:t xml:space="preserve"> in its annual report a </w:t>
            </w:r>
            <w:r>
              <w:rPr>
                <w:sz w:val="23"/>
                <w:szCs w:val="23"/>
              </w:rPr>
              <w:t>r</w:t>
            </w:r>
            <w:r w:rsidRPr="00DB5740">
              <w:rPr>
                <w:sz w:val="23"/>
                <w:szCs w:val="23"/>
              </w:rPr>
              <w:t>egistered public accounting firm</w:t>
            </w:r>
            <w:r>
              <w:rPr>
                <w:sz w:val="23"/>
                <w:szCs w:val="23"/>
              </w:rPr>
              <w:t>’</w:t>
            </w:r>
            <w:r w:rsidRPr="00DB5740">
              <w:rPr>
                <w:sz w:val="23"/>
                <w:szCs w:val="23"/>
              </w:rPr>
              <w:t>s attestation report on int</w:t>
            </w:r>
            <w:r>
              <w:rPr>
                <w:sz w:val="23"/>
                <w:szCs w:val="23"/>
              </w:rPr>
              <w:t>e</w:t>
            </w:r>
            <w:r w:rsidRPr="00DB5740">
              <w:rPr>
                <w:sz w:val="23"/>
                <w:szCs w:val="23"/>
              </w:rPr>
              <w:t>rnal control over financial reporting</w:t>
            </w:r>
            <w:r w:rsidRPr="00DB5740">
              <w:rPr>
                <w:sz w:val="23"/>
                <w:szCs w:val="23"/>
              </w:rPr>
              <w:t>, th</w:t>
            </w:r>
            <w:r>
              <w:rPr>
                <w:sz w:val="23"/>
                <w:szCs w:val="23"/>
              </w:rPr>
              <w:t>e</w:t>
            </w:r>
            <w:r w:rsidRPr="00DB5740">
              <w:rPr>
                <w:sz w:val="23"/>
                <w:szCs w:val="23"/>
              </w:rPr>
              <w:t xml:space="preserve"> Form </w:t>
            </w:r>
            <w:r>
              <w:rPr>
                <w:sz w:val="23"/>
                <w:szCs w:val="23"/>
              </w:rPr>
              <w:t>10</w:t>
            </w:r>
            <w:r>
              <w:rPr>
                <w:sz w:val="23"/>
                <w:szCs w:val="23"/>
              </w:rPr>
              <w:noBreakHyphen/>
              <w:t>K</w:t>
            </w:r>
            <w:r w:rsidRPr="00DB5740">
              <w:rPr>
                <w:sz w:val="23"/>
                <w:szCs w:val="23"/>
              </w:rPr>
              <w:t xml:space="preserve"> must include </w:t>
            </w:r>
            <w:r>
              <w:rPr>
                <w:sz w:val="23"/>
                <w:szCs w:val="23"/>
              </w:rPr>
              <w:t>“</w:t>
            </w:r>
            <w:r w:rsidRPr="00DB5740">
              <w:rPr>
                <w:sz w:val="23"/>
                <w:szCs w:val="23"/>
              </w:rPr>
              <w:t>a statement that the registered publ</w:t>
            </w:r>
            <w:r>
              <w:rPr>
                <w:sz w:val="23"/>
                <w:szCs w:val="23"/>
              </w:rPr>
              <w:t>i</w:t>
            </w:r>
            <w:r w:rsidRPr="00DB5740">
              <w:rPr>
                <w:sz w:val="23"/>
                <w:szCs w:val="23"/>
              </w:rPr>
              <w:t>c accounting firm that audited the financial</w:t>
            </w:r>
            <w:r>
              <w:rPr>
                <w:sz w:val="23"/>
                <w:szCs w:val="23"/>
              </w:rPr>
              <w:t xml:space="preserve"> </w:t>
            </w:r>
            <w:r w:rsidRPr="00DB5740">
              <w:rPr>
                <w:sz w:val="23"/>
                <w:szCs w:val="23"/>
              </w:rPr>
              <w:t>statements included in the annual report containing the disclosure required by this Item has issued an attestation report on</w:t>
            </w:r>
            <w:r>
              <w:rPr>
                <w:sz w:val="23"/>
                <w:szCs w:val="23"/>
              </w:rPr>
              <w:t xml:space="preserve"> </w:t>
            </w:r>
            <w:r w:rsidRPr="00DB5740">
              <w:rPr>
                <w:sz w:val="23"/>
                <w:szCs w:val="23"/>
              </w:rPr>
              <w:t>the registrant</w:t>
            </w:r>
            <w:r>
              <w:rPr>
                <w:sz w:val="23"/>
                <w:szCs w:val="23"/>
              </w:rPr>
              <w:t>’</w:t>
            </w:r>
            <w:r w:rsidRPr="00DB5740">
              <w:rPr>
                <w:sz w:val="23"/>
                <w:szCs w:val="23"/>
              </w:rPr>
              <w:t>s in</w:t>
            </w:r>
            <w:r w:rsidRPr="00DB5740">
              <w:rPr>
                <w:sz w:val="23"/>
                <w:szCs w:val="23"/>
              </w:rPr>
              <w:t>ternal control over financial reporting.</w:t>
            </w:r>
            <w:r>
              <w:rPr>
                <w:sz w:val="23"/>
                <w:szCs w:val="23"/>
              </w:rPr>
              <w:t>”</w:t>
            </w:r>
          </w:p>
          <w:p w14:paraId="2E089516" w14:textId="77777777" w:rsidR="004C67B7" w:rsidRPr="00BD6EAC" w:rsidRDefault="005B5528" w:rsidP="004C67B7">
            <w:pPr>
              <w:spacing w:after="120"/>
              <w:rPr>
                <w:i/>
                <w:iCs/>
              </w:rPr>
            </w:pPr>
            <w:r w:rsidRPr="00BD6EAC">
              <w:rPr>
                <w:i/>
                <w:iCs/>
                <w:sz w:val="23"/>
                <w:szCs w:val="23"/>
              </w:rPr>
              <w:t>Confirm that the Form 10</w:t>
            </w:r>
            <w:r w:rsidRPr="00BD6EAC">
              <w:rPr>
                <w:i/>
                <w:iCs/>
                <w:sz w:val="23"/>
                <w:szCs w:val="23"/>
              </w:rPr>
              <w:noBreakHyphen/>
              <w:t>K includes this statement, if applicable.</w:t>
            </w:r>
          </w:p>
        </w:tc>
        <w:tc>
          <w:tcPr>
            <w:tcW w:w="925" w:type="pct"/>
            <w:tcBorders>
              <w:top w:val="single" w:sz="4" w:space="0" w:color="auto"/>
              <w:bottom w:val="single" w:sz="4" w:space="0" w:color="auto"/>
            </w:tcBorders>
            <w:shd w:val="clear" w:color="auto" w:fill="auto"/>
          </w:tcPr>
          <w:p w14:paraId="1A4C4B68" w14:textId="77777777" w:rsidR="004C67B7" w:rsidRPr="00DB5740" w:rsidRDefault="004C67B7" w:rsidP="004C67B7">
            <w:pPr>
              <w:spacing w:after="120"/>
            </w:pPr>
          </w:p>
        </w:tc>
        <w:tc>
          <w:tcPr>
            <w:tcW w:w="585" w:type="pct"/>
            <w:tcBorders>
              <w:top w:val="single" w:sz="4" w:space="0" w:color="auto"/>
              <w:bottom w:val="single" w:sz="4" w:space="0" w:color="auto"/>
              <w:right w:val="single" w:sz="4" w:space="0" w:color="auto"/>
            </w:tcBorders>
            <w:shd w:val="clear" w:color="auto" w:fill="auto"/>
          </w:tcPr>
          <w:p w14:paraId="7BF58329" w14:textId="77777777" w:rsidR="004C67B7" w:rsidRPr="00DB5740" w:rsidRDefault="004C67B7" w:rsidP="004C67B7">
            <w:pPr>
              <w:rPr>
                <w:szCs w:val="24"/>
              </w:rPr>
            </w:pPr>
          </w:p>
        </w:tc>
        <w:tc>
          <w:tcPr>
            <w:tcW w:w="314" w:type="pct"/>
            <w:gridSpan w:val="2"/>
            <w:tcBorders>
              <w:top w:val="single" w:sz="4" w:space="0" w:color="auto"/>
              <w:bottom w:val="single" w:sz="4" w:space="0" w:color="auto"/>
              <w:right w:val="single" w:sz="4" w:space="0" w:color="auto"/>
            </w:tcBorders>
            <w:shd w:val="clear" w:color="auto" w:fill="auto"/>
            <w:vAlign w:val="center"/>
          </w:tcPr>
          <w:p w14:paraId="14B5A672"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17BF2248"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21AC0E75"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auto"/>
          </w:tcPr>
          <w:p w14:paraId="10AEB946" w14:textId="77777777" w:rsidR="004C67B7" w:rsidRPr="00DB5740" w:rsidRDefault="005B5528" w:rsidP="004C67B7">
            <w:pPr>
              <w:rPr>
                <w:bCs/>
              </w:rPr>
            </w:pPr>
            <w:r w:rsidRPr="00DB5740">
              <w:rPr>
                <w:bCs/>
              </w:rPr>
              <w:lastRenderedPageBreak/>
              <w:t>Item 9A.</w:t>
            </w:r>
          </w:p>
          <w:p w14:paraId="1A066CE0" w14:textId="77777777" w:rsidR="004C67B7" w:rsidRPr="00DB5740" w:rsidRDefault="005B5528" w:rsidP="004C67B7">
            <w:pPr>
              <w:autoSpaceDE w:val="0"/>
              <w:autoSpaceDN w:val="0"/>
              <w:adjustRightInd w:val="0"/>
              <w:rPr>
                <w:bCs/>
              </w:rPr>
            </w:pPr>
            <w:r w:rsidRPr="00DB5740">
              <w:rPr>
                <w:bCs/>
              </w:rPr>
              <w:t>Controls and Procedures</w:t>
            </w:r>
          </w:p>
          <w:p w14:paraId="038B9AEE" w14:textId="77777777" w:rsidR="004C67B7" w:rsidRPr="00DB5740" w:rsidRDefault="004C67B7" w:rsidP="004C67B7">
            <w:pPr>
              <w:autoSpaceDE w:val="0"/>
              <w:autoSpaceDN w:val="0"/>
              <w:adjustRightInd w:val="0"/>
              <w:rPr>
                <w:bCs/>
              </w:rPr>
            </w:pPr>
          </w:p>
          <w:p w14:paraId="1DC34FDD" w14:textId="77777777" w:rsidR="004C67B7" w:rsidRPr="00DB5740" w:rsidRDefault="005B5528" w:rsidP="004C67B7">
            <w:pPr>
              <w:autoSpaceDE w:val="0"/>
              <w:autoSpaceDN w:val="0"/>
              <w:adjustRightInd w:val="0"/>
              <w:rPr>
                <w:bCs/>
              </w:rPr>
            </w:pPr>
            <w:r w:rsidRPr="00DB5740">
              <w:rPr>
                <w:bCs/>
              </w:rPr>
              <w:t>[Attestation Report of the Registered Public Accounting Firm]</w:t>
            </w:r>
          </w:p>
        </w:tc>
        <w:tc>
          <w:tcPr>
            <w:tcW w:w="584" w:type="pct"/>
            <w:tcBorders>
              <w:top w:val="single" w:sz="4" w:space="0" w:color="auto"/>
              <w:bottom w:val="single" w:sz="4" w:space="0" w:color="auto"/>
            </w:tcBorders>
            <w:shd w:val="clear" w:color="auto" w:fill="auto"/>
          </w:tcPr>
          <w:p w14:paraId="68DB9BFD" w14:textId="77777777" w:rsidR="004C67B7" w:rsidRPr="00DB5740" w:rsidRDefault="005B5528" w:rsidP="004C67B7">
            <w:pPr>
              <w:jc w:val="center"/>
            </w:pPr>
            <w:hyperlink r:id="rId158" w:anchor="229.308" w:history="1">
              <w:r w:rsidRPr="00DB5740">
                <w:rPr>
                  <w:rStyle w:val="Hyperlink"/>
                </w:rPr>
                <w:t>308(b)</w:t>
              </w:r>
            </w:hyperlink>
          </w:p>
        </w:tc>
        <w:tc>
          <w:tcPr>
            <w:tcW w:w="1907" w:type="pct"/>
            <w:tcBorders>
              <w:top w:val="single" w:sz="4" w:space="0" w:color="auto"/>
              <w:bottom w:val="single" w:sz="4" w:space="0" w:color="auto"/>
            </w:tcBorders>
            <w:shd w:val="clear" w:color="auto" w:fill="auto"/>
          </w:tcPr>
          <w:p w14:paraId="4BFC166C" w14:textId="77777777" w:rsidR="004C67B7" w:rsidRPr="00DB5740" w:rsidRDefault="005B5528" w:rsidP="004C67B7">
            <w:pPr>
              <w:spacing w:after="120"/>
              <w:rPr>
                <w:b/>
                <w:bCs/>
              </w:rPr>
            </w:pPr>
            <w:r w:rsidRPr="00DB5740">
              <w:rPr>
                <w:b/>
                <w:bCs/>
              </w:rPr>
              <w:t>Attestation Report of the Company</w:t>
            </w:r>
            <w:r>
              <w:rPr>
                <w:b/>
                <w:bCs/>
              </w:rPr>
              <w:t>’</w:t>
            </w:r>
            <w:r w:rsidRPr="00DB5740">
              <w:rPr>
                <w:b/>
                <w:bCs/>
              </w:rPr>
              <w:t>s Registered Public Accounting Firm</w:t>
            </w:r>
          </w:p>
          <w:p w14:paraId="20F4FB16" w14:textId="77777777" w:rsidR="004C67B7" w:rsidRPr="00DB5740" w:rsidRDefault="005B5528" w:rsidP="004C67B7">
            <w:pPr>
              <w:spacing w:after="120"/>
            </w:pPr>
            <w:r w:rsidRPr="00DB5740">
              <w:t xml:space="preserve">If the company is a large accelerated filer or an accelerated filer and is not an EGC, the company must provide the registered </w:t>
            </w:r>
            <w:r w:rsidRPr="00DB5740">
              <w:t>public accounting firm</w:t>
            </w:r>
            <w:r>
              <w:t>’</w:t>
            </w:r>
            <w:r w:rsidRPr="00DB5740">
              <w:t>s attestation report on the company</w:t>
            </w:r>
            <w:r>
              <w:t>’</w:t>
            </w:r>
            <w:r w:rsidRPr="00DB5740">
              <w:t xml:space="preserve">s internal control over financial reporting in the Form </w:t>
            </w:r>
            <w:r>
              <w:t>10</w:t>
            </w:r>
            <w:r>
              <w:noBreakHyphen/>
              <w:t>K</w:t>
            </w:r>
            <w:r w:rsidRPr="00DB5740">
              <w:t xml:space="preserve"> containing the disclosure required </w:t>
            </w:r>
            <w:r>
              <w:t>b</w:t>
            </w:r>
            <w:r w:rsidRPr="00DB5740">
              <w:t>y Item 308.</w:t>
            </w:r>
          </w:p>
        </w:tc>
        <w:tc>
          <w:tcPr>
            <w:tcW w:w="925" w:type="pct"/>
            <w:tcBorders>
              <w:top w:val="single" w:sz="4" w:space="0" w:color="auto"/>
              <w:bottom w:val="single" w:sz="4" w:space="0" w:color="auto"/>
            </w:tcBorders>
            <w:shd w:val="clear" w:color="auto" w:fill="auto"/>
          </w:tcPr>
          <w:p w14:paraId="71514A43" w14:textId="77777777" w:rsidR="004C67B7" w:rsidRPr="00DB5740" w:rsidRDefault="004C67B7" w:rsidP="004C67B7">
            <w:pPr>
              <w:spacing w:after="120"/>
            </w:pPr>
          </w:p>
        </w:tc>
        <w:tc>
          <w:tcPr>
            <w:tcW w:w="585" w:type="pct"/>
            <w:tcBorders>
              <w:top w:val="single" w:sz="4" w:space="0" w:color="auto"/>
              <w:bottom w:val="single" w:sz="4" w:space="0" w:color="auto"/>
              <w:right w:val="single" w:sz="4" w:space="0" w:color="auto"/>
            </w:tcBorders>
            <w:shd w:val="clear" w:color="auto" w:fill="auto"/>
          </w:tcPr>
          <w:p w14:paraId="569AF349" w14:textId="77777777" w:rsidR="004C67B7" w:rsidRPr="00DB5740" w:rsidRDefault="004C67B7" w:rsidP="004C67B7">
            <w:pPr>
              <w:rPr>
                <w:szCs w:val="24"/>
              </w:rPr>
            </w:pPr>
          </w:p>
        </w:tc>
        <w:tc>
          <w:tcPr>
            <w:tcW w:w="314" w:type="pct"/>
            <w:gridSpan w:val="2"/>
            <w:tcBorders>
              <w:top w:val="single" w:sz="4" w:space="0" w:color="auto"/>
              <w:bottom w:val="single" w:sz="4" w:space="0" w:color="auto"/>
              <w:right w:val="single" w:sz="4" w:space="0" w:color="auto"/>
            </w:tcBorders>
            <w:shd w:val="clear" w:color="auto" w:fill="auto"/>
            <w:vAlign w:val="center"/>
          </w:tcPr>
          <w:p w14:paraId="1174169B"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2D93FF0B"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332BB7BA"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FFFFFF"/>
          </w:tcPr>
          <w:p w14:paraId="60B36097" w14:textId="77777777" w:rsidR="004C67B7" w:rsidRPr="00DB5740" w:rsidRDefault="005B5528" w:rsidP="004C67B7">
            <w:pPr>
              <w:rPr>
                <w:bCs/>
              </w:rPr>
            </w:pPr>
            <w:r w:rsidRPr="00DB5740">
              <w:rPr>
                <w:bCs/>
              </w:rPr>
              <w:t>Item 9A. Controls and Procedures</w:t>
            </w:r>
          </w:p>
          <w:p w14:paraId="5C8D62A3" w14:textId="77777777" w:rsidR="004C67B7" w:rsidRPr="00DB5740" w:rsidRDefault="004C67B7" w:rsidP="004C67B7">
            <w:pPr>
              <w:rPr>
                <w:bCs/>
              </w:rPr>
            </w:pPr>
          </w:p>
          <w:p w14:paraId="370DE2A1" w14:textId="77777777" w:rsidR="004C67B7" w:rsidRPr="00DB5740" w:rsidRDefault="005B5528" w:rsidP="004C67B7">
            <w:pPr>
              <w:rPr>
                <w:b/>
                <w:i/>
                <w:color w:val="FF0000"/>
              </w:rPr>
            </w:pPr>
            <w:r w:rsidRPr="00DB5740">
              <w:rPr>
                <w:bCs/>
              </w:rPr>
              <w:t>[Changes in Internal Control Over Finan</w:t>
            </w:r>
            <w:r w:rsidRPr="00DB5740">
              <w:rPr>
                <w:bCs/>
              </w:rPr>
              <w:t>cial Reporting]</w:t>
            </w:r>
          </w:p>
        </w:tc>
        <w:tc>
          <w:tcPr>
            <w:tcW w:w="584" w:type="pct"/>
            <w:tcBorders>
              <w:top w:val="single" w:sz="4" w:space="0" w:color="auto"/>
              <w:bottom w:val="single" w:sz="4" w:space="0" w:color="auto"/>
            </w:tcBorders>
            <w:shd w:val="clear" w:color="auto" w:fill="FFFFFF"/>
          </w:tcPr>
          <w:p w14:paraId="2ABC050B" w14:textId="77777777" w:rsidR="004C67B7" w:rsidRPr="00DB5740" w:rsidRDefault="005B5528" w:rsidP="004C67B7">
            <w:pPr>
              <w:jc w:val="center"/>
            </w:pPr>
            <w:hyperlink r:id="rId159" w:anchor="229.308" w:history="1">
              <w:r w:rsidRPr="00DB5740">
                <w:rPr>
                  <w:rStyle w:val="Hyperlink"/>
                </w:rPr>
                <w:t>308(c)</w:t>
              </w:r>
            </w:hyperlink>
            <w:r w:rsidRPr="00DB5740">
              <w:t xml:space="preserve"> </w:t>
            </w:r>
          </w:p>
        </w:tc>
        <w:tc>
          <w:tcPr>
            <w:tcW w:w="1907" w:type="pct"/>
            <w:tcBorders>
              <w:top w:val="single" w:sz="4" w:space="0" w:color="auto"/>
              <w:bottom w:val="single" w:sz="4" w:space="0" w:color="auto"/>
            </w:tcBorders>
            <w:shd w:val="clear" w:color="auto" w:fill="FFFFFF"/>
          </w:tcPr>
          <w:p w14:paraId="0A1A4693" w14:textId="77777777" w:rsidR="004C67B7" w:rsidRPr="00DB5740" w:rsidRDefault="005B5528" w:rsidP="004C67B7">
            <w:pPr>
              <w:spacing w:after="120"/>
              <w:rPr>
                <w:b/>
                <w:bCs/>
              </w:rPr>
            </w:pPr>
            <w:r w:rsidRPr="00DB5740">
              <w:rPr>
                <w:b/>
                <w:bCs/>
              </w:rPr>
              <w:t>Changes in Internal Control Over Financial Reporting</w:t>
            </w:r>
          </w:p>
          <w:p w14:paraId="2D122522" w14:textId="77777777" w:rsidR="004C67B7" w:rsidRPr="00DB5740" w:rsidRDefault="005B5528" w:rsidP="004C67B7">
            <w:pPr>
              <w:spacing w:after="120"/>
            </w:pPr>
            <w:r w:rsidRPr="00DB5740">
              <w:t>The company must disclose whether or not, based on management</w:t>
            </w:r>
            <w:r>
              <w:t>’</w:t>
            </w:r>
            <w:r w:rsidRPr="00DB5740">
              <w:t>s evaluation, there were an</w:t>
            </w:r>
            <w:r>
              <w:t>y</w:t>
            </w:r>
            <w:r w:rsidRPr="00DB5740">
              <w:t xml:space="preserve"> </w:t>
            </w:r>
            <w:r w:rsidRPr="00DB5740">
              <w:t>changes in the company</w:t>
            </w:r>
            <w:r>
              <w:t>’</w:t>
            </w:r>
            <w:r w:rsidRPr="00DB5740">
              <w:t>s internal control over financial reporting that occurred during the fiscal quarter covered by the company</w:t>
            </w:r>
            <w:r>
              <w:t>’</w:t>
            </w:r>
            <w:r w:rsidRPr="00DB5740">
              <w:t>s fourth fiscal quarter that materially affected, or are reasonably likely to materially affect, the company</w:t>
            </w:r>
            <w:r>
              <w:t>’</w:t>
            </w:r>
            <w:r w:rsidRPr="00DB5740">
              <w:t>s internal contro</w:t>
            </w:r>
            <w:r w:rsidRPr="00DB5740">
              <w:t>l over financial reporting.</w:t>
            </w:r>
          </w:p>
        </w:tc>
        <w:tc>
          <w:tcPr>
            <w:tcW w:w="925" w:type="pct"/>
            <w:tcBorders>
              <w:top w:val="single" w:sz="4" w:space="0" w:color="auto"/>
              <w:bottom w:val="single" w:sz="4" w:space="0" w:color="auto"/>
            </w:tcBorders>
            <w:shd w:val="clear" w:color="auto" w:fill="FFFFFF"/>
          </w:tcPr>
          <w:p w14:paraId="2C2757E1" w14:textId="77777777" w:rsidR="004C67B7" w:rsidRPr="00DB5740" w:rsidRDefault="004C67B7" w:rsidP="004C67B7">
            <w:pPr>
              <w:spacing w:after="120"/>
            </w:pPr>
          </w:p>
        </w:tc>
        <w:tc>
          <w:tcPr>
            <w:tcW w:w="585" w:type="pct"/>
            <w:tcBorders>
              <w:top w:val="single" w:sz="4" w:space="0" w:color="auto"/>
              <w:bottom w:val="single" w:sz="4" w:space="0" w:color="auto"/>
              <w:right w:val="single" w:sz="4" w:space="0" w:color="auto"/>
            </w:tcBorders>
            <w:shd w:val="clear" w:color="auto" w:fill="FFFFFF"/>
          </w:tcPr>
          <w:p w14:paraId="7C6313FF" w14:textId="77777777" w:rsidR="004C67B7" w:rsidRPr="00DB5740" w:rsidRDefault="004C67B7" w:rsidP="004C67B7"/>
        </w:tc>
        <w:tc>
          <w:tcPr>
            <w:tcW w:w="314" w:type="pct"/>
            <w:gridSpan w:val="2"/>
            <w:tcBorders>
              <w:top w:val="single" w:sz="4" w:space="0" w:color="auto"/>
              <w:bottom w:val="single" w:sz="4" w:space="0" w:color="auto"/>
              <w:right w:val="single" w:sz="4" w:space="0" w:color="auto"/>
            </w:tcBorders>
            <w:shd w:val="clear" w:color="auto" w:fill="FFFFFF"/>
            <w:vAlign w:val="center"/>
          </w:tcPr>
          <w:p w14:paraId="000325DC"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13D02518"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160FB032"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FFFFFF"/>
          </w:tcPr>
          <w:p w14:paraId="2F34301A" w14:textId="77777777" w:rsidR="004C67B7" w:rsidRPr="00DB5740" w:rsidRDefault="004C67B7" w:rsidP="004C67B7">
            <w:pPr>
              <w:rPr>
                <w:bCs/>
              </w:rPr>
            </w:pPr>
          </w:p>
        </w:tc>
        <w:tc>
          <w:tcPr>
            <w:tcW w:w="584" w:type="pct"/>
            <w:tcBorders>
              <w:top w:val="single" w:sz="4" w:space="0" w:color="auto"/>
              <w:bottom w:val="single" w:sz="4" w:space="0" w:color="auto"/>
            </w:tcBorders>
            <w:shd w:val="clear" w:color="auto" w:fill="FFFFFF"/>
          </w:tcPr>
          <w:p w14:paraId="00262942" w14:textId="77777777" w:rsidR="004C67B7" w:rsidRPr="00DB5740" w:rsidRDefault="004C67B7" w:rsidP="004C67B7">
            <w:pPr>
              <w:jc w:val="center"/>
            </w:pPr>
          </w:p>
        </w:tc>
        <w:tc>
          <w:tcPr>
            <w:tcW w:w="1907" w:type="pct"/>
            <w:tcBorders>
              <w:top w:val="single" w:sz="4" w:space="0" w:color="auto"/>
              <w:bottom w:val="single" w:sz="4" w:space="0" w:color="auto"/>
            </w:tcBorders>
            <w:shd w:val="clear" w:color="auto" w:fill="FFFFFF"/>
          </w:tcPr>
          <w:p w14:paraId="53096F9A" w14:textId="77777777" w:rsidR="004C67B7" w:rsidRPr="00DB5740" w:rsidRDefault="005B5528" w:rsidP="004C67B7">
            <w:pPr>
              <w:spacing w:after="120"/>
              <w:rPr>
                <w:b/>
                <w:bCs/>
              </w:rPr>
            </w:pPr>
            <w:r w:rsidRPr="00DB5740">
              <w:rPr>
                <w:b/>
                <w:bCs/>
              </w:rPr>
              <w:t>Material Weaknesses</w:t>
            </w:r>
          </w:p>
          <w:p w14:paraId="2C0B45FF" w14:textId="77777777" w:rsidR="004C67B7" w:rsidRPr="00DB5740" w:rsidRDefault="005B5528" w:rsidP="004C67B7">
            <w:pPr>
              <w:spacing w:after="120"/>
            </w:pPr>
            <w:r w:rsidRPr="00DB5740">
              <w:t xml:space="preserve">Confirm that no material weaknesses are disclosed.  If so, review disclosure and confirm that material weakness and remediation efforts are properly described.  </w:t>
            </w:r>
            <w:r w:rsidRPr="00DB5740">
              <w:rPr>
                <w:b/>
                <w:bCs/>
              </w:rPr>
              <w:t>If there is a risk factor on d</w:t>
            </w:r>
            <w:r w:rsidRPr="00DB5740">
              <w:rPr>
                <w:b/>
                <w:bCs/>
              </w:rPr>
              <w:t xml:space="preserve">isclosure controls and procedures and/or internal control over financial reporting in the Form </w:t>
            </w:r>
            <w:r>
              <w:rPr>
                <w:b/>
                <w:bCs/>
              </w:rPr>
              <w:t>10</w:t>
            </w:r>
            <w:r>
              <w:rPr>
                <w:b/>
                <w:bCs/>
              </w:rPr>
              <w:noBreakHyphen/>
              <w:t>K</w:t>
            </w:r>
            <w:r w:rsidRPr="00DB5740">
              <w:rPr>
                <w:b/>
                <w:bCs/>
              </w:rPr>
              <w:t>, the risk factor should provide disclosure of the material weakness.</w:t>
            </w:r>
          </w:p>
        </w:tc>
        <w:tc>
          <w:tcPr>
            <w:tcW w:w="925" w:type="pct"/>
            <w:tcBorders>
              <w:top w:val="single" w:sz="4" w:space="0" w:color="auto"/>
              <w:bottom w:val="single" w:sz="4" w:space="0" w:color="auto"/>
            </w:tcBorders>
            <w:shd w:val="clear" w:color="auto" w:fill="FFFFFF"/>
          </w:tcPr>
          <w:p w14:paraId="4789060D" w14:textId="77777777" w:rsidR="004C67B7" w:rsidRPr="00DB5740" w:rsidRDefault="004C67B7" w:rsidP="004C67B7">
            <w:pPr>
              <w:spacing w:after="120"/>
            </w:pPr>
          </w:p>
        </w:tc>
        <w:tc>
          <w:tcPr>
            <w:tcW w:w="585" w:type="pct"/>
            <w:tcBorders>
              <w:top w:val="single" w:sz="4" w:space="0" w:color="auto"/>
              <w:bottom w:val="single" w:sz="4" w:space="0" w:color="auto"/>
              <w:right w:val="single" w:sz="4" w:space="0" w:color="auto"/>
            </w:tcBorders>
            <w:shd w:val="clear" w:color="auto" w:fill="FFFFFF"/>
          </w:tcPr>
          <w:p w14:paraId="6EBA0653" w14:textId="77777777" w:rsidR="004C67B7" w:rsidRPr="00DB5740" w:rsidRDefault="004C67B7" w:rsidP="004C67B7"/>
        </w:tc>
        <w:tc>
          <w:tcPr>
            <w:tcW w:w="314" w:type="pct"/>
            <w:gridSpan w:val="2"/>
            <w:tcBorders>
              <w:top w:val="single" w:sz="4" w:space="0" w:color="auto"/>
              <w:bottom w:val="single" w:sz="4" w:space="0" w:color="auto"/>
              <w:right w:val="single" w:sz="4" w:space="0" w:color="auto"/>
            </w:tcBorders>
            <w:shd w:val="clear" w:color="auto" w:fill="FFFFFF"/>
            <w:vAlign w:val="center"/>
          </w:tcPr>
          <w:p w14:paraId="719183AD"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767588D8"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29B74E98" w14:textId="77777777" w:rsidTr="00DB5740">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72E72D07" w14:textId="77777777" w:rsidR="004C67B7" w:rsidRPr="00DB5740" w:rsidRDefault="005B5528" w:rsidP="004C67B7">
            <w:pPr>
              <w:keepNext/>
              <w:keepLines/>
              <w:spacing w:after="120"/>
              <w:rPr>
                <w:b/>
              </w:rPr>
            </w:pPr>
            <w:r w:rsidRPr="00DB5740">
              <w:rPr>
                <w:b/>
              </w:rPr>
              <w:lastRenderedPageBreak/>
              <w:t>Item 9B.  Other Information</w:t>
            </w:r>
          </w:p>
        </w:tc>
      </w:tr>
      <w:tr w:rsidR="00000000" w14:paraId="179B10EE"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784EEA2B" w14:textId="77777777" w:rsidR="004C67B7" w:rsidRPr="00DB5740" w:rsidRDefault="005B5528" w:rsidP="004C67B7">
            <w:pPr>
              <w:rPr>
                <w:bCs/>
              </w:rPr>
            </w:pPr>
            <w:r w:rsidRPr="00DB5740">
              <w:rPr>
                <w:bCs/>
              </w:rPr>
              <w:t>Item 9B.</w:t>
            </w:r>
          </w:p>
          <w:p w14:paraId="067A625E" w14:textId="77777777" w:rsidR="004C67B7" w:rsidRPr="00DB5740" w:rsidRDefault="005B5528" w:rsidP="004C67B7">
            <w:pPr>
              <w:autoSpaceDE w:val="0"/>
              <w:autoSpaceDN w:val="0"/>
              <w:adjustRightInd w:val="0"/>
              <w:rPr>
                <w:bCs/>
              </w:rPr>
            </w:pPr>
            <w:r w:rsidRPr="00DB5740">
              <w:rPr>
                <w:bCs/>
              </w:rPr>
              <w:t>Other Information</w:t>
            </w:r>
          </w:p>
          <w:p w14:paraId="201C759C" w14:textId="77777777" w:rsidR="004C67B7" w:rsidRPr="00DB5740" w:rsidRDefault="005B5528" w:rsidP="004C67B7">
            <w:pPr>
              <w:rPr>
                <w:bCs/>
              </w:rPr>
            </w:pPr>
            <w:r w:rsidRPr="00DB5740">
              <w:rPr>
                <w:bCs/>
              </w:rPr>
              <w:t xml:space="preserve"> </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7ED8A3C1" w14:textId="77777777" w:rsidR="004C67B7" w:rsidRPr="00DB5740" w:rsidRDefault="004C67B7" w:rsidP="004C67B7">
            <w:pPr>
              <w:jc w:val="center"/>
            </w:pPr>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580F2B42" w14:textId="77777777" w:rsidR="004C67B7" w:rsidRPr="001C79DF" w:rsidRDefault="005B5528" w:rsidP="004C67B7">
            <w:pPr>
              <w:autoSpaceDE w:val="0"/>
              <w:autoSpaceDN w:val="0"/>
              <w:adjustRightInd w:val="0"/>
              <w:spacing w:after="120"/>
            </w:pPr>
            <w:r w:rsidRPr="001C79DF">
              <w:t>The company m</w:t>
            </w:r>
            <w:r w:rsidRPr="001C79DF">
              <w:t>ust disclose under this item any information required to be disclosed in a report on Form 8-K during the fourth quarter of the year covered by the Form 10 K that was not reported on a Form 8-K, whether or not the disclosure is otherwise required by Form 10</w:t>
            </w:r>
            <w:r w:rsidRPr="001C79DF">
              <w:t>-</w:t>
            </w:r>
            <w:r>
              <w:t>K</w:t>
            </w:r>
            <w:r w:rsidRPr="001C79DF">
              <w:t xml:space="preserve">. </w:t>
            </w:r>
          </w:p>
          <w:p w14:paraId="58FB5E76" w14:textId="77777777" w:rsidR="004C67B7" w:rsidRPr="001C79DF" w:rsidRDefault="005B5528" w:rsidP="004C67B7">
            <w:pPr>
              <w:autoSpaceDE w:val="0"/>
              <w:autoSpaceDN w:val="0"/>
              <w:adjustRightInd w:val="0"/>
              <w:spacing w:after="120"/>
            </w:pPr>
            <w:r w:rsidRPr="001C79DF">
              <w:t>If disclosure of such information is made under Item</w:t>
            </w:r>
            <w:r>
              <w:t xml:space="preserve"> 9B</w:t>
            </w:r>
            <w:r w:rsidRPr="001C79DF">
              <w:t>, it need not be repeated in a report on Form 8-K which the company would otherwise be required to file with respect to such information.</w:t>
            </w:r>
          </w:p>
          <w:p w14:paraId="3E63CCC1" w14:textId="77777777" w:rsidR="004C67B7" w:rsidRPr="001C79DF" w:rsidRDefault="005B5528" w:rsidP="004C67B7">
            <w:pPr>
              <w:autoSpaceDE w:val="0"/>
              <w:autoSpaceDN w:val="0"/>
              <w:adjustRightInd w:val="0"/>
              <w:spacing w:after="120"/>
              <w:rPr>
                <w:i/>
                <w:iCs/>
              </w:rPr>
            </w:pPr>
            <w:r w:rsidRPr="001C79DF">
              <w:rPr>
                <w:i/>
                <w:iCs/>
              </w:rPr>
              <w:t>Confirm either that:</w:t>
            </w:r>
          </w:p>
          <w:p w14:paraId="15B2D392" w14:textId="77777777" w:rsidR="004C67B7" w:rsidRPr="001C79DF" w:rsidRDefault="005B5528" w:rsidP="004C67B7">
            <w:pPr>
              <w:numPr>
                <w:ilvl w:val="0"/>
                <w:numId w:val="38"/>
              </w:numPr>
              <w:autoSpaceDE w:val="0"/>
              <w:autoSpaceDN w:val="0"/>
              <w:adjustRightInd w:val="0"/>
              <w:spacing w:after="120"/>
              <w:ind w:left="432"/>
              <w:rPr>
                <w:i/>
                <w:iCs/>
              </w:rPr>
            </w:pPr>
            <w:r w:rsidRPr="001C79DF">
              <w:rPr>
                <w:i/>
                <w:iCs/>
              </w:rPr>
              <w:t>There is nothing that the company wou</w:t>
            </w:r>
            <w:r w:rsidRPr="001C79DF">
              <w:rPr>
                <w:i/>
                <w:iCs/>
              </w:rPr>
              <w:t xml:space="preserve">ld be required to report on Form 8-K during the </w:t>
            </w:r>
            <w:r>
              <w:rPr>
                <w:i/>
                <w:iCs/>
              </w:rPr>
              <w:t>fourth quarter of the year</w:t>
            </w:r>
            <w:r w:rsidRPr="001C79DF">
              <w:rPr>
                <w:i/>
                <w:iCs/>
              </w:rPr>
              <w:t xml:space="preserve"> covered by the Form 10-</w:t>
            </w:r>
            <w:r>
              <w:rPr>
                <w:i/>
                <w:iCs/>
              </w:rPr>
              <w:t>K</w:t>
            </w:r>
            <w:r w:rsidRPr="001C79DF">
              <w:rPr>
                <w:i/>
                <w:iCs/>
              </w:rPr>
              <w:t xml:space="preserve"> that the company has not reported on a Form 8-K; or</w:t>
            </w:r>
          </w:p>
          <w:p w14:paraId="086B3826" w14:textId="77777777" w:rsidR="004C67B7" w:rsidRPr="001C79DF" w:rsidRDefault="005B5528" w:rsidP="004C67B7">
            <w:pPr>
              <w:numPr>
                <w:ilvl w:val="0"/>
                <w:numId w:val="38"/>
              </w:numPr>
              <w:autoSpaceDE w:val="0"/>
              <w:autoSpaceDN w:val="0"/>
              <w:adjustRightInd w:val="0"/>
              <w:spacing w:after="120"/>
              <w:ind w:left="432"/>
              <w:rPr>
                <w:i/>
                <w:iCs/>
              </w:rPr>
            </w:pPr>
            <w:r w:rsidRPr="001C79DF">
              <w:rPr>
                <w:i/>
                <w:iCs/>
              </w:rPr>
              <w:t xml:space="preserve">Any required disclosure is included under Item </w:t>
            </w:r>
            <w:r>
              <w:rPr>
                <w:i/>
                <w:iCs/>
              </w:rPr>
              <w:t>9B</w:t>
            </w:r>
            <w:r w:rsidRPr="001C79DF">
              <w:rPr>
                <w:i/>
                <w:iCs/>
              </w:rPr>
              <w:t xml:space="preserve"> of the Form 10-</w:t>
            </w:r>
            <w:r>
              <w:rPr>
                <w:i/>
                <w:iCs/>
              </w:rPr>
              <w:t>K</w:t>
            </w:r>
            <w:r w:rsidRPr="001C79DF">
              <w:rPr>
                <w:i/>
                <w:iCs/>
              </w:rPr>
              <w:t>.</w:t>
            </w:r>
          </w:p>
          <w:p w14:paraId="1455AE73" w14:textId="77777777" w:rsidR="004C67B7" w:rsidRPr="00DB5740" w:rsidRDefault="005B5528" w:rsidP="004C67B7">
            <w:pPr>
              <w:keepNext/>
              <w:keepLines/>
              <w:spacing w:after="120"/>
            </w:pPr>
            <w:r w:rsidRPr="001C79DF">
              <w:t xml:space="preserve">A company may voluntarily choose to </w:t>
            </w:r>
            <w:r w:rsidRPr="001C79DF">
              <w:t xml:space="preserve">disclose information pursuant to Item </w:t>
            </w:r>
            <w:r>
              <w:t>9B</w:t>
            </w:r>
            <w:r w:rsidRPr="001C79DF">
              <w:t xml:space="preserve"> to report a Form 8-K triggering event that occurred within four business days before the company files </w:t>
            </w:r>
            <w:r>
              <w:t>the</w:t>
            </w:r>
            <w:r w:rsidRPr="001C79DF">
              <w:t xml:space="preserve"> Form 10-</w:t>
            </w:r>
            <w:r>
              <w:t>K</w:t>
            </w:r>
            <w:r w:rsidRPr="001C79DF">
              <w:t>, no separate 8-K is required (except for filings required by Form 8-K Item 4.01, Changes in Regist</w:t>
            </w:r>
            <w:r w:rsidRPr="001C79DF">
              <w:t>rant</w:t>
            </w:r>
            <w:r>
              <w:t>’</w:t>
            </w:r>
            <w:r w:rsidRPr="001C79DF">
              <w:t>s Certifying Accountant, and Item 4.02 of Form 8-K, Non-Reliance on Previously Issued Financial Statements or a Related Audit Report or Completed Interim Review).  All Item 4.01 and Item 4.02 events must be reported on Form 8-K and amendments to previ</w:t>
            </w:r>
            <w:r w:rsidRPr="001C79DF">
              <w:t xml:space="preserve">ously filed Forms 8-K must be filed on a Form 8-K/A.  See </w:t>
            </w:r>
            <w:hyperlink r:id="rId160" w:history="1">
              <w:r w:rsidRPr="001C79DF">
                <w:rPr>
                  <w:color w:val="0000FF"/>
                  <w:u w:val="single"/>
                </w:rPr>
                <w:t>Exch</w:t>
              </w:r>
              <w:bookmarkStart w:id="99" w:name="_Hlt99967685"/>
              <w:bookmarkStart w:id="100" w:name="_Hlt99967686"/>
              <w:r w:rsidRPr="001C79DF">
                <w:rPr>
                  <w:color w:val="0000FF"/>
                  <w:u w:val="single"/>
                </w:rPr>
                <w:t>a</w:t>
              </w:r>
              <w:bookmarkEnd w:id="99"/>
              <w:bookmarkEnd w:id="100"/>
              <w:r w:rsidRPr="001C79DF">
                <w:rPr>
                  <w:color w:val="0000FF"/>
                  <w:u w:val="single"/>
                </w:rPr>
                <w:t>nge Act Form 8-K CDI 101.01</w:t>
              </w:r>
            </w:hyperlink>
            <w:r w:rsidRPr="001C79DF">
              <w:t>.</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36121E6F" w14:textId="77777777" w:rsidR="004C67B7" w:rsidRPr="00DB5740"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70266C0D" w14:textId="77777777" w:rsidR="004C67B7" w:rsidRPr="00DB5740" w:rsidRDefault="004C67B7" w:rsidP="004C67B7"/>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C25DD" w14:textId="77777777" w:rsidR="004C67B7" w:rsidRPr="00DB5740" w:rsidRDefault="005B5528" w:rsidP="004C67B7">
            <w:pPr>
              <w:jc w:val="center"/>
            </w:pPr>
            <w:r w:rsidRPr="00DB5740">
              <w:t xml:space="preserve">Yes </w:t>
            </w:r>
            <w:r w:rsidRPr="00DB5740">
              <w:rPr>
                <w:rFonts w:ascii="Segoe UI Symbol" w:hAnsi="Segoe UI Symbol" w:cs="Segoe UI Symbol"/>
              </w:rPr>
              <w:t>☐</w:t>
            </w:r>
          </w:p>
          <w:p w14:paraId="26153B92" w14:textId="77777777" w:rsidR="004C67B7" w:rsidRPr="00DB5740" w:rsidRDefault="005B5528" w:rsidP="004C67B7">
            <w:pPr>
              <w:jc w:val="center"/>
              <w:rPr>
                <w:b/>
                <w:u w:val="single"/>
              </w:rPr>
            </w:pPr>
            <w:r w:rsidRPr="00DB5740">
              <w:t xml:space="preserve">No  </w:t>
            </w:r>
            <w:r w:rsidRPr="00DB5740">
              <w:rPr>
                <w:rFonts w:ascii="Segoe UI Symbol" w:eastAsia="MS Gothic" w:hAnsi="Segoe UI Symbol" w:cs="Segoe UI Symbol"/>
              </w:rPr>
              <w:t>☐</w:t>
            </w:r>
          </w:p>
        </w:tc>
      </w:tr>
      <w:tr w:rsidR="00000000" w14:paraId="1EDACDF2" w14:textId="77777777" w:rsidTr="00DB5740">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32E5397A" w14:textId="77777777" w:rsidR="004C67B7" w:rsidRPr="00DB5740" w:rsidRDefault="005B5528" w:rsidP="004C67B7">
            <w:pPr>
              <w:keepNext/>
              <w:keepLines/>
              <w:spacing w:after="120"/>
              <w:rPr>
                <w:b/>
                <w:bCs/>
              </w:rPr>
            </w:pPr>
            <w:r w:rsidRPr="00DB5740">
              <w:rPr>
                <w:b/>
                <w:bCs/>
              </w:rPr>
              <w:lastRenderedPageBreak/>
              <w:t>Item 9C. Disclosure Regarding Foreign Jurisdictions that Prevent Inspec</w:t>
            </w:r>
            <w:r w:rsidRPr="00DB5740">
              <w:rPr>
                <w:b/>
                <w:bCs/>
              </w:rPr>
              <w:t>tions</w:t>
            </w:r>
          </w:p>
        </w:tc>
      </w:tr>
      <w:tr w:rsidR="00000000" w14:paraId="0004A37F" w14:textId="77777777" w:rsidTr="00BF4090">
        <w:trPr>
          <w:cantSplit/>
          <w:jc w:val="center"/>
        </w:trPr>
        <w:tc>
          <w:tcPr>
            <w:tcW w:w="685" w:type="pct"/>
            <w:tcBorders>
              <w:top w:val="single" w:sz="4" w:space="0" w:color="auto"/>
              <w:left w:val="single" w:sz="4" w:space="0" w:color="auto"/>
              <w:bottom w:val="single" w:sz="24" w:space="0" w:color="auto"/>
              <w:right w:val="single" w:sz="4" w:space="0" w:color="auto"/>
            </w:tcBorders>
            <w:shd w:val="clear" w:color="auto" w:fill="auto"/>
          </w:tcPr>
          <w:p w14:paraId="4B1B8179" w14:textId="77777777" w:rsidR="004C67B7" w:rsidRPr="00DB5740" w:rsidRDefault="005B5528" w:rsidP="004C67B7">
            <w:pPr>
              <w:rPr>
                <w:iCs/>
              </w:rPr>
            </w:pPr>
            <w:r w:rsidRPr="00DB5740">
              <w:rPr>
                <w:iCs/>
              </w:rPr>
              <w:t>Item 9C.</w:t>
            </w:r>
            <w:r w:rsidRPr="00DB5740">
              <w:t xml:space="preserve"> </w:t>
            </w:r>
            <w:r w:rsidRPr="00DB5740">
              <w:rPr>
                <w:iCs/>
              </w:rPr>
              <w:t>Disclosure Regarding Foreign Jurisdictions that Prevent Inspections.</w:t>
            </w:r>
          </w:p>
        </w:tc>
        <w:tc>
          <w:tcPr>
            <w:tcW w:w="584" w:type="pct"/>
            <w:tcBorders>
              <w:top w:val="single" w:sz="4" w:space="0" w:color="auto"/>
              <w:left w:val="single" w:sz="4" w:space="0" w:color="auto"/>
              <w:bottom w:val="single" w:sz="24" w:space="0" w:color="auto"/>
              <w:right w:val="single" w:sz="4" w:space="0" w:color="auto"/>
            </w:tcBorders>
            <w:shd w:val="clear" w:color="auto" w:fill="auto"/>
          </w:tcPr>
          <w:p w14:paraId="7942E083" w14:textId="77777777" w:rsidR="004C67B7" w:rsidRPr="00DB5740" w:rsidRDefault="004C67B7" w:rsidP="004C67B7">
            <w:pPr>
              <w:jc w:val="center"/>
            </w:pPr>
          </w:p>
        </w:tc>
        <w:tc>
          <w:tcPr>
            <w:tcW w:w="1907" w:type="pct"/>
            <w:tcBorders>
              <w:top w:val="single" w:sz="4" w:space="0" w:color="auto"/>
              <w:left w:val="single" w:sz="4" w:space="0" w:color="auto"/>
              <w:bottom w:val="single" w:sz="24" w:space="0" w:color="auto"/>
              <w:right w:val="single" w:sz="4" w:space="0" w:color="auto"/>
            </w:tcBorders>
            <w:shd w:val="clear" w:color="auto" w:fill="auto"/>
          </w:tcPr>
          <w:p w14:paraId="15ABEE77" w14:textId="77777777" w:rsidR="004C67B7" w:rsidRDefault="005B5528" w:rsidP="004C67B7">
            <w:pPr>
              <w:keepNext/>
              <w:keepLines/>
              <w:spacing w:after="120"/>
            </w:pPr>
            <w:r>
              <w:rPr>
                <w:b/>
                <w:bCs/>
              </w:rPr>
              <w:t xml:space="preserve">Holding Foreign Companies Accountable Act </w:t>
            </w:r>
          </w:p>
          <w:p w14:paraId="7FE7FBDB" w14:textId="77777777" w:rsidR="004C67B7" w:rsidRPr="00A44985" w:rsidRDefault="005B5528" w:rsidP="004C67B7">
            <w:pPr>
              <w:keepNext/>
              <w:keepLines/>
              <w:spacing w:after="120"/>
            </w:pPr>
            <w:r w:rsidRPr="00A44985">
              <w:t xml:space="preserve">Companies identified by the SEC as a </w:t>
            </w:r>
            <w:r>
              <w:t>“</w:t>
            </w:r>
            <w:r w:rsidRPr="00A44985">
              <w:t>Commission-Identified Issuer</w:t>
            </w:r>
            <w:r>
              <w:t>”</w:t>
            </w:r>
            <w:r w:rsidRPr="00A44985">
              <w:t xml:space="preserve"> must include the disclosure specified in Item 9C(a).  </w:t>
            </w:r>
            <w:r>
              <w:t>“</w:t>
            </w:r>
            <w:r w:rsidRPr="00A44985">
              <w:t>Fore</w:t>
            </w:r>
            <w:r w:rsidRPr="00A44985">
              <w:t>ign issuers,</w:t>
            </w:r>
            <w:r>
              <w:t>”</w:t>
            </w:r>
            <w:r w:rsidRPr="00A44985">
              <w:t xml:space="preserve"> as defined in Rule 3b-4, must include the additional disclosure specified in Item 9C(b).</w:t>
            </w:r>
          </w:p>
          <w:p w14:paraId="01B5FC58" w14:textId="77777777" w:rsidR="004C67B7" w:rsidRPr="00A44985" w:rsidRDefault="005B5528" w:rsidP="004C67B7">
            <w:pPr>
              <w:keepNext/>
              <w:keepLines/>
              <w:spacing w:after="120"/>
            </w:pPr>
            <w:r w:rsidRPr="00A44985">
              <w:t xml:space="preserve">All other companies should indicate </w:t>
            </w:r>
            <w:r>
              <w:t>“</w:t>
            </w:r>
            <w:r w:rsidRPr="00A44985">
              <w:t>Not applicab</w:t>
            </w:r>
            <w:r>
              <w:t>l</w:t>
            </w:r>
            <w:r w:rsidRPr="00A44985">
              <w:t>e.</w:t>
            </w:r>
            <w:r>
              <w:t>”</w:t>
            </w:r>
          </w:p>
          <w:p w14:paraId="3D9E7224" w14:textId="77777777" w:rsidR="004C67B7" w:rsidRPr="0025682D" w:rsidRDefault="005B5528" w:rsidP="004C67B7">
            <w:pPr>
              <w:keepNext/>
              <w:keepLines/>
              <w:spacing w:after="120"/>
              <w:rPr>
                <w:i/>
                <w:iCs/>
              </w:rPr>
            </w:pPr>
            <w:r w:rsidRPr="0025682D">
              <w:rPr>
                <w:i/>
                <w:iCs/>
              </w:rPr>
              <w:t xml:space="preserve">Confirm whether or not the company is listed as a “Commission-Identified Issuer” on the SEC’s </w:t>
            </w:r>
            <w:hyperlink r:id="rId161" w:history="1">
              <w:r w:rsidRPr="0025682D">
                <w:rPr>
                  <w:rStyle w:val="Hyperlink"/>
                  <w:i/>
                  <w:iCs/>
                </w:rPr>
                <w:t>HFCAA</w:t>
              </w:r>
              <w:bookmarkStart w:id="101" w:name="_Hlt94085891"/>
              <w:bookmarkStart w:id="102" w:name="_Hlt94085892"/>
              <w:r w:rsidRPr="0025682D">
                <w:rPr>
                  <w:rStyle w:val="Hyperlink"/>
                  <w:i/>
                  <w:iCs/>
                </w:rPr>
                <w:t xml:space="preserve"> </w:t>
              </w:r>
              <w:bookmarkEnd w:id="101"/>
              <w:bookmarkEnd w:id="102"/>
              <w:r w:rsidRPr="0025682D">
                <w:rPr>
                  <w:rStyle w:val="Hyperlink"/>
                  <w:i/>
                  <w:iCs/>
                </w:rPr>
                <w:t>web page</w:t>
              </w:r>
            </w:hyperlink>
            <w:r w:rsidRPr="0025682D">
              <w:rPr>
                <w:i/>
                <w:iCs/>
              </w:rPr>
              <w:t>.</w:t>
            </w:r>
          </w:p>
          <w:p w14:paraId="028DB570" w14:textId="77777777" w:rsidR="004C67B7" w:rsidRPr="0025682D" w:rsidRDefault="005B5528" w:rsidP="004C67B7">
            <w:pPr>
              <w:keepNext/>
              <w:keepLines/>
              <w:spacing w:after="120"/>
              <w:rPr>
                <w:i/>
                <w:iCs/>
              </w:rPr>
            </w:pPr>
            <w:r w:rsidRPr="0025682D">
              <w:rPr>
                <w:i/>
                <w:iCs/>
              </w:rPr>
              <w:t>Confirm that the Form 10</w:t>
            </w:r>
            <w:r w:rsidRPr="0025682D">
              <w:rPr>
                <w:i/>
                <w:iCs/>
              </w:rPr>
              <w:noBreakHyphen/>
              <w:t>K includes:</w:t>
            </w:r>
          </w:p>
          <w:p w14:paraId="11763274" w14:textId="77777777" w:rsidR="004C67B7" w:rsidRPr="0025682D" w:rsidRDefault="005B5528" w:rsidP="004C67B7">
            <w:pPr>
              <w:keepNext/>
              <w:keepLines/>
              <w:numPr>
                <w:ilvl w:val="0"/>
                <w:numId w:val="26"/>
              </w:numPr>
              <w:spacing w:after="120"/>
              <w:rPr>
                <w:i/>
                <w:iCs/>
              </w:rPr>
            </w:pPr>
            <w:r w:rsidRPr="0025682D">
              <w:rPr>
                <w:i/>
                <w:iCs/>
              </w:rPr>
              <w:t>the caption for Item 9C, and either</w:t>
            </w:r>
          </w:p>
          <w:p w14:paraId="7E7A386C" w14:textId="77777777" w:rsidR="004C67B7" w:rsidRPr="0025682D" w:rsidRDefault="005B5528" w:rsidP="004C67B7">
            <w:pPr>
              <w:keepNext/>
              <w:keepLines/>
              <w:numPr>
                <w:ilvl w:val="0"/>
                <w:numId w:val="26"/>
              </w:numPr>
              <w:spacing w:after="120"/>
              <w:rPr>
                <w:i/>
                <w:iCs/>
              </w:rPr>
            </w:pPr>
            <w:r w:rsidRPr="0025682D">
              <w:rPr>
                <w:i/>
                <w:iCs/>
              </w:rPr>
              <w:t xml:space="preserve">the applicable disclosure if the company is a “Commission-Identified Issuer” or </w:t>
            </w:r>
          </w:p>
          <w:p w14:paraId="31D3857D" w14:textId="77777777" w:rsidR="004C67B7" w:rsidRPr="00A44985" w:rsidRDefault="005B5528" w:rsidP="004C67B7">
            <w:pPr>
              <w:keepNext/>
              <w:keepLines/>
              <w:numPr>
                <w:ilvl w:val="0"/>
                <w:numId w:val="26"/>
              </w:numPr>
              <w:spacing w:after="120"/>
            </w:pPr>
            <w:r w:rsidRPr="0025682D">
              <w:rPr>
                <w:i/>
                <w:iCs/>
              </w:rPr>
              <w:t>“not applicable” if the company is not a “Commiss</w:t>
            </w:r>
            <w:r w:rsidRPr="0025682D">
              <w:rPr>
                <w:i/>
                <w:iCs/>
              </w:rPr>
              <w:t>ion-Identified Issuer.”</w:t>
            </w:r>
          </w:p>
        </w:tc>
        <w:tc>
          <w:tcPr>
            <w:tcW w:w="925" w:type="pct"/>
            <w:tcBorders>
              <w:top w:val="single" w:sz="4" w:space="0" w:color="auto"/>
              <w:left w:val="single" w:sz="4" w:space="0" w:color="auto"/>
              <w:bottom w:val="single" w:sz="24" w:space="0" w:color="auto"/>
              <w:right w:val="single" w:sz="4" w:space="0" w:color="auto"/>
            </w:tcBorders>
            <w:shd w:val="clear" w:color="auto" w:fill="auto"/>
          </w:tcPr>
          <w:p w14:paraId="1AB4E8CD" w14:textId="77777777" w:rsidR="004C67B7" w:rsidRPr="00DB5740" w:rsidRDefault="005B5528" w:rsidP="004C67B7">
            <w:pPr>
              <w:spacing w:after="120"/>
            </w:pPr>
            <w:hyperlink r:id="rId162" w:history="1">
              <w:r w:rsidRPr="00DB5740">
                <w:rPr>
                  <w:rStyle w:val="Hyperlink"/>
                </w:rPr>
                <w:t>SEC and PCAOB Prepare to Implement the Holding Foreign Companies Accountable Act</w:t>
              </w:r>
            </w:hyperlink>
            <w:r w:rsidRPr="00DB5740">
              <w:t xml:space="preserve"> (Goodwin alert)</w:t>
            </w:r>
          </w:p>
        </w:tc>
        <w:tc>
          <w:tcPr>
            <w:tcW w:w="585" w:type="pct"/>
            <w:tcBorders>
              <w:top w:val="single" w:sz="4" w:space="0" w:color="auto"/>
              <w:left w:val="single" w:sz="4" w:space="0" w:color="auto"/>
              <w:bottom w:val="single" w:sz="24" w:space="0" w:color="auto"/>
              <w:right w:val="single" w:sz="4" w:space="0" w:color="auto"/>
            </w:tcBorders>
            <w:shd w:val="clear" w:color="auto" w:fill="auto"/>
          </w:tcPr>
          <w:p w14:paraId="2953B287"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24" w:space="0" w:color="auto"/>
              <w:right w:val="single" w:sz="4" w:space="0" w:color="auto"/>
            </w:tcBorders>
            <w:shd w:val="clear" w:color="auto" w:fill="auto"/>
            <w:vAlign w:val="center"/>
          </w:tcPr>
          <w:p w14:paraId="0AF4A569"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667A61BE"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06474FAB" w14:textId="77777777" w:rsidTr="00BF4090">
        <w:trPr>
          <w:cantSplit/>
          <w:jc w:val="center"/>
        </w:trPr>
        <w:tc>
          <w:tcPr>
            <w:tcW w:w="685" w:type="pct"/>
            <w:tcBorders>
              <w:top w:val="single" w:sz="4" w:space="0" w:color="auto"/>
              <w:left w:val="single" w:sz="4" w:space="0" w:color="auto"/>
              <w:bottom w:val="single" w:sz="24" w:space="0" w:color="auto"/>
              <w:right w:val="single" w:sz="4" w:space="0" w:color="auto"/>
            </w:tcBorders>
            <w:shd w:val="clear" w:color="auto" w:fill="auto"/>
          </w:tcPr>
          <w:p w14:paraId="4D010113" w14:textId="77777777" w:rsidR="004C67B7" w:rsidRPr="00DB5740" w:rsidRDefault="004C67B7" w:rsidP="004C67B7">
            <w:pPr>
              <w:rPr>
                <w:iCs/>
              </w:rPr>
            </w:pPr>
          </w:p>
        </w:tc>
        <w:tc>
          <w:tcPr>
            <w:tcW w:w="584" w:type="pct"/>
            <w:tcBorders>
              <w:top w:val="single" w:sz="4" w:space="0" w:color="auto"/>
              <w:left w:val="single" w:sz="4" w:space="0" w:color="auto"/>
              <w:bottom w:val="single" w:sz="24" w:space="0" w:color="auto"/>
              <w:right w:val="single" w:sz="4" w:space="0" w:color="auto"/>
            </w:tcBorders>
            <w:shd w:val="clear" w:color="auto" w:fill="auto"/>
          </w:tcPr>
          <w:p w14:paraId="3A9309C0" w14:textId="77777777" w:rsidR="004C67B7" w:rsidRPr="00DB5740" w:rsidRDefault="004C67B7" w:rsidP="004C67B7">
            <w:pPr>
              <w:jc w:val="center"/>
            </w:pPr>
          </w:p>
        </w:tc>
        <w:tc>
          <w:tcPr>
            <w:tcW w:w="1907" w:type="pct"/>
            <w:tcBorders>
              <w:top w:val="single" w:sz="4" w:space="0" w:color="auto"/>
              <w:left w:val="single" w:sz="4" w:space="0" w:color="auto"/>
              <w:bottom w:val="single" w:sz="24" w:space="0" w:color="auto"/>
              <w:right w:val="single" w:sz="4" w:space="0" w:color="auto"/>
            </w:tcBorders>
            <w:shd w:val="clear" w:color="auto" w:fill="auto"/>
          </w:tcPr>
          <w:p w14:paraId="35E9D5E7" w14:textId="77777777" w:rsidR="004C67B7" w:rsidRPr="00E73595" w:rsidRDefault="005B5528" w:rsidP="004C67B7">
            <w:pPr>
              <w:keepNext/>
              <w:keepLines/>
              <w:spacing w:after="120"/>
            </w:pPr>
            <w:r>
              <w:t>The</w:t>
            </w:r>
            <w:r w:rsidRPr="00E73595">
              <w:t xml:space="preserve"> </w:t>
            </w:r>
            <w:hyperlink r:id="rId163" w:history="1">
              <w:r w:rsidRPr="00E73595">
                <w:rPr>
                  <w:rStyle w:val="Hyperlink"/>
                </w:rPr>
                <w:t>final amendments</w:t>
              </w:r>
            </w:hyperlink>
            <w:r w:rsidRPr="00E73595">
              <w:t xml:space="preserve"> adopted by the </w:t>
            </w:r>
            <w:r>
              <w:t>SEC</w:t>
            </w:r>
            <w:r w:rsidRPr="00E73595">
              <w:t xml:space="preserve"> to implement the HFCAA include a new paragraph in Regulation S-T Item 405(c)(1)(iii)(C) that requires Form 1</w:t>
            </w:r>
            <w:r>
              <w:t>0</w:t>
            </w:r>
            <w:r w:rsidRPr="00E73595">
              <w:t xml:space="preserve">-K </w:t>
            </w:r>
            <w:r>
              <w:t xml:space="preserve">reports </w:t>
            </w:r>
            <w:r w:rsidRPr="00E73595">
              <w:t>to include the fo</w:t>
            </w:r>
            <w:r>
              <w:t>l</w:t>
            </w:r>
            <w:r w:rsidRPr="00E73595">
              <w:t>lowing:</w:t>
            </w:r>
          </w:p>
          <w:p w14:paraId="66BFDFE0" w14:textId="77777777" w:rsidR="004C67B7" w:rsidRPr="00E73595" w:rsidRDefault="005B5528" w:rsidP="004C67B7">
            <w:pPr>
              <w:keepNext/>
              <w:keepLines/>
              <w:numPr>
                <w:ilvl w:val="0"/>
                <w:numId w:val="27"/>
              </w:numPr>
              <w:spacing w:after="120"/>
            </w:pPr>
            <w:r w:rsidRPr="00E73595">
              <w:t xml:space="preserve">the name of the </w:t>
            </w:r>
            <w:r w:rsidRPr="00E73595">
              <w:t>company</w:t>
            </w:r>
            <w:r>
              <w:t>’</w:t>
            </w:r>
            <w:r w:rsidRPr="00E73595">
              <w:t>s principal independent</w:t>
            </w:r>
            <w:r>
              <w:t xml:space="preserve"> </w:t>
            </w:r>
            <w:r w:rsidRPr="00E73595">
              <w:t>auditor, in plai</w:t>
            </w:r>
            <w:r>
              <w:t>n</w:t>
            </w:r>
            <w:r w:rsidRPr="00E73595">
              <w:t xml:space="preserve"> text rather than signature or logo;</w:t>
            </w:r>
          </w:p>
          <w:p w14:paraId="69FC6FDC" w14:textId="77777777" w:rsidR="004C67B7" w:rsidRPr="00E73595" w:rsidRDefault="005B5528" w:rsidP="004C67B7">
            <w:pPr>
              <w:keepNext/>
              <w:keepLines/>
              <w:numPr>
                <w:ilvl w:val="0"/>
                <w:numId w:val="27"/>
              </w:numPr>
              <w:spacing w:after="120"/>
            </w:pPr>
            <w:r w:rsidRPr="00E73595">
              <w:t>the auditor</w:t>
            </w:r>
            <w:r>
              <w:t>’</w:t>
            </w:r>
            <w:r w:rsidRPr="00E73595">
              <w:t xml:space="preserve">s location, including the city and </w:t>
            </w:r>
            <w:r>
              <w:t>“</w:t>
            </w:r>
            <w:r w:rsidRPr="00E73595">
              <w:t>either or both country, US state or Canad</w:t>
            </w:r>
            <w:r>
              <w:t>i</w:t>
            </w:r>
            <w:r w:rsidRPr="00E73595">
              <w:t>an province</w:t>
            </w:r>
            <w:r>
              <w:t>”</w:t>
            </w:r>
            <w:r w:rsidRPr="00E73595">
              <w:t xml:space="preserve"> sh</w:t>
            </w:r>
            <w:r>
              <w:t>o</w:t>
            </w:r>
            <w:r w:rsidRPr="00E73595">
              <w:t>wn as required by Section 6.5.54 of the SEC EDGAR F</w:t>
            </w:r>
            <w:r>
              <w:t>i</w:t>
            </w:r>
            <w:r w:rsidRPr="00E73595">
              <w:t>ler Manual;</w:t>
            </w:r>
          </w:p>
          <w:p w14:paraId="145C42CF" w14:textId="77777777" w:rsidR="004C67B7" w:rsidRPr="00E73595" w:rsidRDefault="005B5528" w:rsidP="004C67B7">
            <w:pPr>
              <w:keepNext/>
              <w:keepLines/>
              <w:numPr>
                <w:ilvl w:val="0"/>
                <w:numId w:val="27"/>
              </w:numPr>
              <w:spacing w:after="120"/>
            </w:pPr>
            <w:r w:rsidRPr="00E73595">
              <w:t>the auditor</w:t>
            </w:r>
            <w:r>
              <w:t>’</w:t>
            </w:r>
            <w:r w:rsidRPr="00E73595">
              <w:t>s Pu</w:t>
            </w:r>
            <w:r>
              <w:t>b</w:t>
            </w:r>
            <w:r w:rsidRPr="00E73595">
              <w:t>lic Company Accounting Oversight Board (PCAOB) firm ID number</w:t>
            </w:r>
            <w:r>
              <w:t xml:space="preserve">; </w:t>
            </w:r>
            <w:r w:rsidRPr="00E73595">
              <w:t xml:space="preserve">and </w:t>
            </w:r>
          </w:p>
          <w:p w14:paraId="327BCAA7" w14:textId="77777777" w:rsidR="004C67B7" w:rsidRDefault="005B5528" w:rsidP="004C67B7">
            <w:pPr>
              <w:keepNext/>
              <w:keepLines/>
              <w:numPr>
                <w:ilvl w:val="0"/>
                <w:numId w:val="27"/>
              </w:numPr>
              <w:spacing w:after="120"/>
            </w:pPr>
            <w:r w:rsidRPr="00E73595">
              <w:t>interactive XBRL tags that identify this information.</w:t>
            </w:r>
          </w:p>
          <w:p w14:paraId="521A3F22" w14:textId="77777777" w:rsidR="004C67B7" w:rsidRDefault="005B5528" w:rsidP="004C67B7">
            <w:pPr>
              <w:keepNext/>
              <w:keepLines/>
              <w:spacing w:after="120"/>
            </w:pPr>
            <w:r w:rsidRPr="00E73595">
              <w:t>The final amendments do not</w:t>
            </w:r>
            <w:r>
              <w:t xml:space="preserve"> </w:t>
            </w:r>
            <w:r w:rsidRPr="00E73595">
              <w:t>prescribe any specific locat</w:t>
            </w:r>
            <w:r>
              <w:t>i</w:t>
            </w:r>
            <w:r w:rsidRPr="00E73595">
              <w:t>on f</w:t>
            </w:r>
            <w:r>
              <w:t>or</w:t>
            </w:r>
            <w:r w:rsidRPr="00E73595">
              <w:t xml:space="preserve"> this informat</w:t>
            </w:r>
            <w:r>
              <w:t>i</w:t>
            </w:r>
            <w:r w:rsidRPr="00E73595">
              <w:t>on, As a result, although</w:t>
            </w:r>
            <w:r>
              <w:t xml:space="preserve"> </w:t>
            </w:r>
            <w:r w:rsidRPr="00E73595">
              <w:t>this informat</w:t>
            </w:r>
            <w:r w:rsidRPr="00E73595">
              <w:t>ion and the rela</w:t>
            </w:r>
            <w:r>
              <w:t>t</w:t>
            </w:r>
            <w:r w:rsidRPr="00E73595">
              <w:t>ed interactive XBRL tags are required for SEC annual reports, a company can provide this information and the related tags anywhere within the filing.</w:t>
            </w:r>
          </w:p>
          <w:p w14:paraId="53F4ECB8" w14:textId="77777777" w:rsidR="004C67B7" w:rsidRDefault="005B5528" w:rsidP="004C67B7">
            <w:pPr>
              <w:keepNext/>
              <w:keepLines/>
              <w:spacing w:after="120"/>
            </w:pPr>
            <w:r>
              <w:t>C</w:t>
            </w:r>
            <w:r w:rsidRPr="00E73595">
              <w:t>ompanies should review the auditor disclosure requirements and how the company</w:t>
            </w:r>
            <w:r>
              <w:t>’</w:t>
            </w:r>
            <w:r w:rsidRPr="00E73595">
              <w:t xml:space="preserve">s </w:t>
            </w:r>
            <w:r>
              <w:t>Form 10</w:t>
            </w:r>
            <w:r>
              <w:t>-K</w:t>
            </w:r>
            <w:r w:rsidRPr="00E73595">
              <w:t xml:space="preserve"> will comply with these requirements with the company</w:t>
            </w:r>
            <w:r>
              <w:t>’</w:t>
            </w:r>
            <w:r w:rsidRPr="00E73595">
              <w:t>s auditor.</w:t>
            </w:r>
          </w:p>
          <w:p w14:paraId="762A21DC" w14:textId="77777777" w:rsidR="004C67B7" w:rsidRDefault="005B5528" w:rsidP="004C67B7">
            <w:pPr>
              <w:keepNext/>
              <w:keepLines/>
              <w:spacing w:after="120"/>
            </w:pPr>
            <w:r>
              <w:t>W</w:t>
            </w:r>
            <w:r w:rsidRPr="00A44985">
              <w:t>e suggest that companies consider presenting the required auditor information in Item 14 and tagging that information as required.  We note that ther</w:t>
            </w:r>
            <w:r>
              <w:t>e</w:t>
            </w:r>
            <w:r w:rsidRPr="00A44985">
              <w:t xml:space="preserve"> is no specific location required for </w:t>
            </w:r>
            <w:r w:rsidRPr="00A44985">
              <w:t>the auditor inf</w:t>
            </w:r>
            <w:r>
              <w:t>o</w:t>
            </w:r>
            <w:r w:rsidRPr="00A44985">
              <w:t>rmation disclosure.</w:t>
            </w:r>
          </w:p>
          <w:p w14:paraId="4961FF04" w14:textId="77777777" w:rsidR="004C67B7" w:rsidRPr="00DB5740" w:rsidRDefault="005B5528" w:rsidP="004C67B7">
            <w:pPr>
              <w:keepNext/>
              <w:keepLines/>
              <w:spacing w:after="120"/>
            </w:pPr>
            <w:r w:rsidRPr="00F80073">
              <w:t xml:space="preserve">See Item 8, </w:t>
            </w:r>
            <w:r>
              <w:t>“</w:t>
            </w:r>
            <w:r w:rsidRPr="00F80073">
              <w:t>Audit Report Interactive XBRL Tagging</w:t>
            </w:r>
            <w:r>
              <w:rPr>
                <w:iCs/>
              </w:rPr>
              <w:t xml:space="preserve">” </w:t>
            </w:r>
            <w:r w:rsidRPr="00F80073">
              <w:t xml:space="preserve">and Item 14, </w:t>
            </w:r>
            <w:r>
              <w:t>“</w:t>
            </w:r>
            <w:r w:rsidRPr="00F80073">
              <w:t>Principal Accountant Fees and Services,</w:t>
            </w:r>
            <w:r>
              <w:t>”</w:t>
            </w:r>
            <w:r w:rsidRPr="00F80073">
              <w:t xml:space="preserve"> for additional information.</w:t>
            </w:r>
          </w:p>
        </w:tc>
        <w:tc>
          <w:tcPr>
            <w:tcW w:w="925" w:type="pct"/>
            <w:tcBorders>
              <w:top w:val="single" w:sz="4" w:space="0" w:color="auto"/>
              <w:left w:val="single" w:sz="4" w:space="0" w:color="auto"/>
              <w:bottom w:val="single" w:sz="24" w:space="0" w:color="auto"/>
              <w:right w:val="single" w:sz="4" w:space="0" w:color="auto"/>
            </w:tcBorders>
            <w:shd w:val="clear" w:color="auto" w:fill="auto"/>
          </w:tcPr>
          <w:p w14:paraId="4F810D4D" w14:textId="77777777" w:rsidR="004C67B7" w:rsidRDefault="005B5528" w:rsidP="004C67B7">
            <w:pPr>
              <w:spacing w:after="120"/>
            </w:pPr>
            <w:r>
              <w:t xml:space="preserve">The </w:t>
            </w:r>
            <w:hyperlink r:id="rId164" w:history="1">
              <w:r w:rsidRPr="00E73595">
                <w:rPr>
                  <w:rStyle w:val="Hyperlink"/>
                </w:rPr>
                <w:t>adopting releas</w:t>
              </w:r>
              <w:r w:rsidRPr="00E73595">
                <w:rPr>
                  <w:rStyle w:val="Hyperlink"/>
                </w:rPr>
                <w:t>e</w:t>
              </w:r>
            </w:hyperlink>
            <w:r>
              <w:t xml:space="preserve"> states that “</w:t>
            </w:r>
            <w:r w:rsidRPr="00E73595">
              <w:t>. . . the final amendments leave placement of the underlying tags within the annual report up to the [company].</w:t>
            </w:r>
            <w:r>
              <w:t>”</w:t>
            </w:r>
          </w:p>
          <w:p w14:paraId="24E81C70" w14:textId="77777777" w:rsidR="004C67B7" w:rsidRPr="00DB5740" w:rsidRDefault="005B5528" w:rsidP="004C67B7">
            <w:pPr>
              <w:spacing w:after="120"/>
            </w:pPr>
            <w:r w:rsidRPr="008924AA">
              <w:t>Note that the EDGAR Filer Manual, as revised in connection with the final amendments, provides that the auditor</w:t>
            </w:r>
            <w:r>
              <w:t>’</w:t>
            </w:r>
            <w:r w:rsidRPr="008924AA">
              <w:t>s name, locatio</w:t>
            </w:r>
            <w:r w:rsidRPr="008924AA">
              <w:t xml:space="preserve">n and PCAOB ID number </w:t>
            </w:r>
            <w:r>
              <w:t>“</w:t>
            </w:r>
            <w:r w:rsidRPr="008924AA">
              <w:t xml:space="preserve">must also be visible in the sense defined by 5.2.5.14, and should be tagged where they normally appear, </w:t>
            </w:r>
            <w:r w:rsidRPr="008924AA">
              <w:rPr>
                <w:i/>
                <w:iCs/>
              </w:rPr>
              <w:t>adjacent to the auditors</w:t>
            </w:r>
            <w:r>
              <w:rPr>
                <w:i/>
                <w:iCs/>
              </w:rPr>
              <w:t>’</w:t>
            </w:r>
            <w:r w:rsidRPr="008924AA">
              <w:rPr>
                <w:i/>
                <w:iCs/>
              </w:rPr>
              <w:t xml:space="preserve"> opinion </w:t>
            </w:r>
            <w:r w:rsidRPr="008924AA">
              <w:t>[emphasis added].</w:t>
            </w:r>
            <w:r>
              <w:t>”</w:t>
            </w:r>
            <w:r w:rsidRPr="008924AA">
              <w:t xml:space="preserve">  We do not believe that this overrides the SEC statement in the adopting rel</w:t>
            </w:r>
            <w:r w:rsidRPr="008924AA">
              <w:t xml:space="preserve">ease that </w:t>
            </w:r>
            <w:r>
              <w:t>“</w:t>
            </w:r>
            <w:r w:rsidRPr="008924AA">
              <w:t xml:space="preserve">the final amendments </w:t>
            </w:r>
            <w:r w:rsidRPr="008924AA">
              <w:rPr>
                <w:i/>
                <w:iCs/>
              </w:rPr>
              <w:t>leave placement of the underlying tags within the annual report up to the registrant</w:t>
            </w:r>
            <w:r w:rsidRPr="008924AA">
              <w:t xml:space="preserve"> [emphasis added].</w:t>
            </w:r>
            <w:r>
              <w:t>”</w:t>
            </w:r>
          </w:p>
        </w:tc>
        <w:tc>
          <w:tcPr>
            <w:tcW w:w="585" w:type="pct"/>
            <w:tcBorders>
              <w:top w:val="single" w:sz="4" w:space="0" w:color="auto"/>
              <w:left w:val="single" w:sz="4" w:space="0" w:color="auto"/>
              <w:bottom w:val="single" w:sz="24" w:space="0" w:color="auto"/>
              <w:right w:val="single" w:sz="4" w:space="0" w:color="auto"/>
            </w:tcBorders>
            <w:shd w:val="clear" w:color="auto" w:fill="auto"/>
          </w:tcPr>
          <w:p w14:paraId="7797C9E1"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24" w:space="0" w:color="auto"/>
              <w:right w:val="single" w:sz="4" w:space="0" w:color="auto"/>
            </w:tcBorders>
            <w:shd w:val="clear" w:color="auto" w:fill="auto"/>
            <w:vAlign w:val="center"/>
          </w:tcPr>
          <w:p w14:paraId="1528AABC"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542ABAA6"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2E8F17CA" w14:textId="77777777" w:rsidTr="006D5F83">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F7941D"/>
          </w:tcPr>
          <w:p w14:paraId="78C81308" w14:textId="77777777" w:rsidR="004C67B7" w:rsidRPr="00DB5740" w:rsidRDefault="005B5528" w:rsidP="004C67B7">
            <w:pPr>
              <w:keepNext/>
              <w:keepLines/>
              <w:spacing w:after="120"/>
              <w:rPr>
                <w:b/>
                <w:bCs/>
              </w:rPr>
            </w:pPr>
            <w:r w:rsidRPr="00DB5740">
              <w:rPr>
                <w:b/>
                <w:bCs/>
              </w:rPr>
              <w:lastRenderedPageBreak/>
              <w:t>Part III</w:t>
            </w:r>
          </w:p>
        </w:tc>
      </w:tr>
      <w:tr w:rsidR="00000000" w14:paraId="36D3E640" w14:textId="77777777" w:rsidTr="00F91087">
        <w:trPr>
          <w:cantSplit/>
          <w:jc w:val="center"/>
        </w:trPr>
        <w:tc>
          <w:tcPr>
            <w:tcW w:w="5000" w:type="pct"/>
            <w:gridSpan w:val="7"/>
            <w:tcBorders>
              <w:top w:val="single" w:sz="24" w:space="0" w:color="auto"/>
              <w:left w:val="single" w:sz="4" w:space="0" w:color="auto"/>
              <w:bottom w:val="single" w:sz="4" w:space="0" w:color="auto"/>
            </w:tcBorders>
          </w:tcPr>
          <w:p w14:paraId="429059DA" w14:textId="77777777" w:rsidR="004C67B7" w:rsidRPr="00DB5740" w:rsidRDefault="005B5528" w:rsidP="004C67B7">
            <w:pPr>
              <w:keepNext/>
              <w:keepLines/>
              <w:spacing w:after="120"/>
              <w:rPr>
                <w:i/>
                <w:iCs/>
              </w:rPr>
            </w:pPr>
            <w:r>
              <w:t>Form 10-K permits a company to incorporate the</w:t>
            </w:r>
            <w:r w:rsidRPr="00DB5740">
              <w:t xml:space="preserve"> information required by Part I</w:t>
            </w:r>
            <w:r>
              <w:t>I</w:t>
            </w:r>
            <w:r w:rsidRPr="00DB5740">
              <w:t>I from the com</w:t>
            </w:r>
            <w:r>
              <w:t>p</w:t>
            </w:r>
            <w:r w:rsidRPr="00DB5740">
              <w:t>any</w:t>
            </w:r>
            <w:r>
              <w:t>’</w:t>
            </w:r>
            <w:r w:rsidRPr="00DB5740">
              <w:t>s definitive proxy statement if the</w:t>
            </w:r>
            <w:r>
              <w:t xml:space="preserve"> </w:t>
            </w:r>
            <w:r w:rsidRPr="00DB5740">
              <w:t xml:space="preserve">company files the definitive proxy statement with the SEC </w:t>
            </w:r>
            <w:r w:rsidRPr="00DB5740">
              <w:rPr>
                <w:b/>
              </w:rPr>
              <w:t>not l</w:t>
            </w:r>
            <w:r>
              <w:rPr>
                <w:b/>
              </w:rPr>
              <w:t>a</w:t>
            </w:r>
            <w:r w:rsidRPr="00DB5740">
              <w:rPr>
                <w:b/>
              </w:rPr>
              <w:t>ter than 120 days after the end of the fiscal year</w:t>
            </w:r>
            <w:r w:rsidRPr="00DB5740">
              <w:t xml:space="preserve"> covered by the Form </w:t>
            </w:r>
            <w:r>
              <w:t>10</w:t>
            </w:r>
            <w:r>
              <w:noBreakHyphen/>
              <w:t>K</w:t>
            </w:r>
            <w:r w:rsidRPr="00DB5740">
              <w:t xml:space="preserve">. </w:t>
            </w:r>
            <w:r w:rsidRPr="00DB5740">
              <w:rPr>
                <w:b/>
              </w:rPr>
              <w:t>This date cannot be extended under</w:t>
            </w:r>
            <w:r>
              <w:rPr>
                <w:b/>
              </w:rPr>
              <w:t xml:space="preserve"> </w:t>
            </w:r>
            <w:r w:rsidRPr="00DB5740">
              <w:rPr>
                <w:b/>
              </w:rPr>
              <w:t>Rule 12b-25.</w:t>
            </w:r>
            <w:r w:rsidRPr="00DB5740">
              <w:t xml:space="preserve">  </w:t>
            </w:r>
            <w:r>
              <w:t>If a company elects to incorp</w:t>
            </w:r>
            <w:r>
              <w:t>orate the disclosure required by Part III from its definitive proxy statement, p</w:t>
            </w:r>
            <w:r w:rsidRPr="00DB5740">
              <w:t xml:space="preserve">reparation and review of </w:t>
            </w:r>
            <w:r>
              <w:t>Items 10-14 will be</w:t>
            </w:r>
            <w:r w:rsidRPr="00DB5740">
              <w:t xml:space="preserve"> performed in connection with preparation of the company</w:t>
            </w:r>
            <w:r>
              <w:t>’</w:t>
            </w:r>
            <w:r w:rsidRPr="00DB5740">
              <w:t>s proxy statement.</w:t>
            </w:r>
          </w:p>
        </w:tc>
      </w:tr>
      <w:tr w:rsidR="00000000" w14:paraId="47D60516" w14:textId="77777777" w:rsidTr="00F91087">
        <w:trPr>
          <w:cantSplit/>
          <w:jc w:val="center"/>
        </w:trPr>
        <w:tc>
          <w:tcPr>
            <w:tcW w:w="4101" w:type="pct"/>
            <w:gridSpan w:val="4"/>
            <w:tcBorders>
              <w:top w:val="single" w:sz="4" w:space="0" w:color="auto"/>
              <w:left w:val="single" w:sz="4" w:space="0" w:color="auto"/>
              <w:bottom w:val="single" w:sz="4" w:space="0" w:color="auto"/>
              <w:right w:val="single" w:sz="4" w:space="0" w:color="auto"/>
            </w:tcBorders>
            <w:shd w:val="clear" w:color="auto" w:fill="auto"/>
          </w:tcPr>
          <w:p w14:paraId="7A34E7DC" w14:textId="77777777" w:rsidR="004C67B7" w:rsidRPr="00F91087" w:rsidRDefault="005B5528" w:rsidP="004C67B7">
            <w:pPr>
              <w:keepNext/>
              <w:keepLines/>
              <w:spacing w:after="120"/>
            </w:pPr>
            <w:r w:rsidRPr="00DB5740">
              <w:rPr>
                <w:b/>
                <w:iCs/>
              </w:rPr>
              <w:t xml:space="preserve">Items 10-14 – </w:t>
            </w:r>
            <w:r w:rsidRPr="00DB5740">
              <w:rPr>
                <w:bCs/>
                <w:iCs/>
              </w:rPr>
              <w:t xml:space="preserve">It is </w:t>
            </w:r>
            <w:r>
              <w:rPr>
                <w:bCs/>
                <w:iCs/>
              </w:rPr>
              <w:t xml:space="preserve">common for companies to </w:t>
            </w:r>
            <w:r w:rsidRPr="00DB5740">
              <w:rPr>
                <w:bCs/>
                <w:iCs/>
              </w:rPr>
              <w:t>incorporate</w:t>
            </w:r>
            <w:r w:rsidRPr="00DB5740">
              <w:rPr>
                <w:bCs/>
                <w:iCs/>
              </w:rPr>
              <w:t xml:space="preserve"> Items </w:t>
            </w:r>
            <w:r>
              <w:rPr>
                <w:bCs/>
                <w:iCs/>
              </w:rPr>
              <w:t>1</w:t>
            </w:r>
            <w:r w:rsidRPr="00DB5740">
              <w:rPr>
                <w:bCs/>
                <w:iCs/>
              </w:rPr>
              <w:t>0-14 through forward incorporation by reference from the company</w:t>
            </w:r>
            <w:r>
              <w:rPr>
                <w:bCs/>
                <w:iCs/>
              </w:rPr>
              <w:t>’</w:t>
            </w:r>
            <w:r w:rsidRPr="00DB5740">
              <w:rPr>
                <w:bCs/>
                <w:iCs/>
              </w:rPr>
              <w:t>s definitive proxy sta</w:t>
            </w:r>
            <w:r>
              <w:rPr>
                <w:bCs/>
                <w:iCs/>
              </w:rPr>
              <w:t>t</w:t>
            </w:r>
            <w:r w:rsidRPr="00DB5740">
              <w:rPr>
                <w:bCs/>
                <w:iCs/>
              </w:rPr>
              <w:t>ement.</w:t>
            </w:r>
            <w:r>
              <w:rPr>
                <w:bCs/>
                <w:iCs/>
              </w:rPr>
              <w:t xml:space="preserve">  </w:t>
            </w:r>
            <w:r w:rsidRPr="00DB5740">
              <w:rPr>
                <w:bCs/>
                <w:iCs/>
              </w:rPr>
              <w:t xml:space="preserve">If the Form </w:t>
            </w:r>
            <w:r>
              <w:rPr>
                <w:bCs/>
                <w:iCs/>
              </w:rPr>
              <w:t>10</w:t>
            </w:r>
            <w:r>
              <w:rPr>
                <w:bCs/>
                <w:iCs/>
              </w:rPr>
              <w:noBreakHyphen/>
              <w:t>K</w:t>
            </w:r>
            <w:r w:rsidRPr="00DB5740">
              <w:rPr>
                <w:bCs/>
                <w:iCs/>
              </w:rPr>
              <w:t xml:space="preserve"> include</w:t>
            </w:r>
            <w:r>
              <w:rPr>
                <w:bCs/>
                <w:iCs/>
              </w:rPr>
              <w:t>s</w:t>
            </w:r>
            <w:r w:rsidRPr="00DB5740">
              <w:rPr>
                <w:bCs/>
                <w:iCs/>
              </w:rPr>
              <w:t xml:space="preserve"> disclosure for these items</w:t>
            </w:r>
            <w:r>
              <w:rPr>
                <w:bCs/>
                <w:iCs/>
              </w:rPr>
              <w:t xml:space="preserve"> instead of incorporating the disclosure by reference from the proxy statement</w:t>
            </w:r>
            <w:r w:rsidRPr="00DB5740">
              <w:rPr>
                <w:bCs/>
                <w:iCs/>
              </w:rPr>
              <w:t xml:space="preserve">, these items must be </w:t>
            </w:r>
            <w:r w:rsidRPr="00DB5740">
              <w:rPr>
                <w:bCs/>
                <w:iCs/>
              </w:rPr>
              <w:t>reviewed against the disclosure requirements specified in each item</w:t>
            </w:r>
            <w:r>
              <w:rPr>
                <w:bCs/>
                <w:iCs/>
              </w:rPr>
              <w:t>.</w:t>
            </w: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5AAFCF1E" w14:textId="77777777" w:rsidR="004C67B7" w:rsidRPr="00DB5740" w:rsidRDefault="004C67B7" w:rsidP="004C67B7">
            <w:pPr>
              <w:keepNext/>
              <w:keepLines/>
              <w:spacing w:after="120"/>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996D4"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760C1030"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522BA6D8" w14:textId="77777777" w:rsidTr="00F91087">
        <w:trPr>
          <w:cantSplit/>
          <w:jc w:val="center"/>
        </w:trPr>
        <w:tc>
          <w:tcPr>
            <w:tcW w:w="4101" w:type="pct"/>
            <w:gridSpan w:val="4"/>
            <w:tcBorders>
              <w:top w:val="single" w:sz="4" w:space="0" w:color="auto"/>
              <w:left w:val="single" w:sz="4" w:space="0" w:color="auto"/>
              <w:bottom w:val="single" w:sz="4" w:space="0" w:color="auto"/>
              <w:right w:val="single" w:sz="4" w:space="0" w:color="auto"/>
            </w:tcBorders>
            <w:shd w:val="clear" w:color="auto" w:fill="auto"/>
          </w:tcPr>
          <w:p w14:paraId="788DFC5F" w14:textId="77777777" w:rsidR="004C67B7" w:rsidRPr="00984F3F" w:rsidRDefault="005B5528" w:rsidP="004C67B7">
            <w:pPr>
              <w:keepNext/>
              <w:keepLines/>
              <w:spacing w:after="120"/>
              <w:rPr>
                <w:b/>
                <w:bCs/>
              </w:rPr>
            </w:pPr>
            <w:r w:rsidRPr="00984F3F">
              <w:t>If the Form 10</w:t>
            </w:r>
            <w:r w:rsidRPr="00984F3F">
              <w:noBreakHyphen/>
              <w:t>K will incorporate the Part III information from the company</w:t>
            </w:r>
            <w:r>
              <w:t>’</w:t>
            </w:r>
            <w:r w:rsidRPr="00984F3F">
              <w:t xml:space="preserve">s definitive proxy statement, the greater scope of disclosure relating to executive compensation </w:t>
            </w:r>
            <w:r w:rsidRPr="00984F3F">
              <w:t xml:space="preserve">and corporate governance matters required in proxy statements makes it advisable to review the text that incorporates the relevant Items by reference to ensure that this text clearly refers </w:t>
            </w:r>
            <w:r w:rsidRPr="00984F3F">
              <w:rPr>
                <w:bCs/>
              </w:rPr>
              <w:t>only</w:t>
            </w:r>
            <w:r w:rsidRPr="00984F3F">
              <w:t xml:space="preserve"> to the information required by the relevant Item of Form 10</w:t>
            </w:r>
            <w:r w:rsidRPr="00984F3F">
              <w:noBreakHyphen/>
              <w:t>K</w:t>
            </w:r>
            <w:r w:rsidRPr="00984F3F">
              <w:t>.</w:t>
            </w: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7A17D17A" w14:textId="77777777" w:rsidR="004C67B7" w:rsidRPr="00DB5740" w:rsidRDefault="004C67B7" w:rsidP="004C67B7">
            <w:pPr>
              <w:keepNext/>
              <w:keepLines/>
              <w:spacing w:after="120"/>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C3705"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7B67A4D6"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5A34374A" w14:textId="77777777" w:rsidTr="00F91087">
        <w:trPr>
          <w:cantSplit/>
          <w:jc w:val="center"/>
        </w:trPr>
        <w:tc>
          <w:tcPr>
            <w:tcW w:w="4101" w:type="pct"/>
            <w:gridSpan w:val="4"/>
            <w:tcBorders>
              <w:top w:val="single" w:sz="4" w:space="0" w:color="auto"/>
              <w:left w:val="single" w:sz="4" w:space="0" w:color="auto"/>
              <w:bottom w:val="single" w:sz="4" w:space="0" w:color="auto"/>
              <w:right w:val="single" w:sz="4" w:space="0" w:color="auto"/>
            </w:tcBorders>
            <w:shd w:val="clear" w:color="auto" w:fill="auto"/>
          </w:tcPr>
          <w:p w14:paraId="6FAC851B" w14:textId="77777777" w:rsidR="004C67B7" w:rsidRDefault="005B5528" w:rsidP="004C67B7">
            <w:pPr>
              <w:keepNext/>
              <w:keepLines/>
              <w:spacing w:after="120"/>
              <w:rPr>
                <w:bCs/>
                <w:iCs/>
              </w:rPr>
            </w:pPr>
            <w:r>
              <w:rPr>
                <w:bCs/>
                <w:iCs/>
              </w:rPr>
              <w:t>►If the Form 10-K will incorporate the Part III disclosure by reference from the company’s definitive proxy statement, c</w:t>
            </w:r>
            <w:r w:rsidRPr="00DB5740">
              <w:rPr>
                <w:bCs/>
                <w:iCs/>
              </w:rPr>
              <w:t xml:space="preserve">onfirm that </w:t>
            </w:r>
          </w:p>
          <w:p w14:paraId="487B5871" w14:textId="77777777" w:rsidR="004C67B7" w:rsidRPr="006C3046" w:rsidRDefault="005B5528" w:rsidP="004C67B7">
            <w:pPr>
              <w:keepNext/>
              <w:keepLines/>
              <w:numPr>
                <w:ilvl w:val="0"/>
                <w:numId w:val="33"/>
              </w:numPr>
              <w:spacing w:after="120"/>
              <w:rPr>
                <w:bCs/>
                <w:iCs/>
              </w:rPr>
            </w:pPr>
            <w:r w:rsidRPr="006C3046">
              <w:rPr>
                <w:bCs/>
                <w:iCs/>
              </w:rPr>
              <w:t xml:space="preserve">each item is properly listed; </w:t>
            </w:r>
          </w:p>
          <w:p w14:paraId="3EFCB5CD" w14:textId="77777777" w:rsidR="004C67B7" w:rsidRPr="006C3046" w:rsidRDefault="005B5528" w:rsidP="004C67B7">
            <w:pPr>
              <w:keepNext/>
              <w:keepLines/>
              <w:numPr>
                <w:ilvl w:val="0"/>
                <w:numId w:val="33"/>
              </w:numPr>
              <w:spacing w:after="120"/>
              <w:rPr>
                <w:bCs/>
                <w:iCs/>
              </w:rPr>
            </w:pPr>
            <w:r w:rsidRPr="006C3046">
              <w:rPr>
                <w:bCs/>
                <w:iCs/>
              </w:rPr>
              <w:t>that each item to be incorporated by reference from the company</w:t>
            </w:r>
            <w:r>
              <w:rPr>
                <w:bCs/>
                <w:iCs/>
              </w:rPr>
              <w:t>’</w:t>
            </w:r>
            <w:r w:rsidRPr="006C3046">
              <w:rPr>
                <w:bCs/>
                <w:iCs/>
              </w:rPr>
              <w:t>s definitive</w:t>
            </w:r>
            <w:r w:rsidRPr="006C3046">
              <w:rPr>
                <w:bCs/>
                <w:iCs/>
              </w:rPr>
              <w:t xml:space="preserve"> proxy statement expressly indicates that the information required by that item is incorporated by reference from the company</w:t>
            </w:r>
            <w:r>
              <w:rPr>
                <w:bCs/>
                <w:iCs/>
              </w:rPr>
              <w:t>’</w:t>
            </w:r>
            <w:r w:rsidRPr="006C3046">
              <w:rPr>
                <w:bCs/>
                <w:iCs/>
              </w:rPr>
              <w:t>s definitive proxy statement; and</w:t>
            </w:r>
          </w:p>
          <w:p w14:paraId="7FD74FA3" w14:textId="77777777" w:rsidR="004C67B7" w:rsidRPr="006C3046" w:rsidRDefault="005B5528" w:rsidP="004C67B7">
            <w:pPr>
              <w:keepNext/>
              <w:keepLines/>
              <w:numPr>
                <w:ilvl w:val="0"/>
                <w:numId w:val="33"/>
              </w:numPr>
              <w:spacing w:after="120"/>
              <w:rPr>
                <w:bCs/>
                <w:iCs/>
              </w:rPr>
            </w:pPr>
            <w:r w:rsidRPr="006C3046">
              <w:rPr>
                <w:bCs/>
                <w:iCs/>
              </w:rPr>
              <w:t>information that cannot be incorporated by reference from the definitive proxy statement is prop</w:t>
            </w:r>
            <w:r w:rsidRPr="006C3046">
              <w:rPr>
                <w:bCs/>
                <w:iCs/>
              </w:rPr>
              <w:t>erly disclosed under the appropriate item of Form 10-K.</w:t>
            </w:r>
          </w:p>
          <w:p w14:paraId="02171C13" w14:textId="77777777" w:rsidR="004C67B7" w:rsidRDefault="005B5528" w:rsidP="004C67B7">
            <w:pPr>
              <w:keepNext/>
              <w:keepLines/>
              <w:spacing w:after="120"/>
              <w:rPr>
                <w:bCs/>
                <w:iCs/>
              </w:rPr>
            </w:pPr>
            <w:r>
              <w:rPr>
                <w:b/>
                <w:iCs/>
              </w:rPr>
              <w:t xml:space="preserve">► </w:t>
            </w:r>
            <w:r>
              <w:rPr>
                <w:bCs/>
                <w:iCs/>
              </w:rPr>
              <w:t>If the Form 10-K includes the Part III disclosure, review each item in Part III below in conjunction with the applicable sections of the Goodwin Proxy Statement Form Check.</w:t>
            </w:r>
          </w:p>
          <w:p w14:paraId="4B9CC21E" w14:textId="77777777" w:rsidR="004C67B7" w:rsidRPr="00DB5740" w:rsidRDefault="005B5528" w:rsidP="004C67B7">
            <w:pPr>
              <w:keepNext/>
              <w:keepLines/>
              <w:spacing w:after="120"/>
            </w:pPr>
            <w:r>
              <w:rPr>
                <w:bCs/>
                <w:iCs/>
              </w:rPr>
              <w:t>►</w:t>
            </w:r>
            <w:r w:rsidRPr="00636AC4">
              <w:rPr>
                <w:b/>
                <w:iCs/>
              </w:rPr>
              <w:t>In either case, review t</w:t>
            </w:r>
            <w:r w:rsidRPr="00636AC4">
              <w:rPr>
                <w:b/>
                <w:iCs/>
              </w:rPr>
              <w:t>he requirements of Item 407(c)(3) under Item 10 below and determine whether there has been a material change for which disclosure would be required.</w:t>
            </w: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57CFE219" w14:textId="77777777" w:rsidR="004C67B7" w:rsidRPr="00DB5740" w:rsidRDefault="004C67B7" w:rsidP="004C67B7">
            <w:pPr>
              <w:keepNext/>
              <w:keepLines/>
              <w:spacing w:after="120"/>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1CAD2"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746ED026"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6DC0B414" w14:textId="77777777" w:rsidTr="00951920">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203A0AE5" w14:textId="77777777" w:rsidR="004C67B7" w:rsidRPr="00096441" w:rsidRDefault="005B5528" w:rsidP="004C67B7">
            <w:pPr>
              <w:rPr>
                <w:b/>
                <w:bCs/>
              </w:rPr>
            </w:pPr>
            <w:r w:rsidRPr="00096441">
              <w:rPr>
                <w:b/>
                <w:bCs/>
                <w:sz w:val="21"/>
                <w:szCs w:val="21"/>
              </w:rPr>
              <w:t>Item 10. Directors, Executive Officers and Corporate Governance</w:t>
            </w:r>
          </w:p>
        </w:tc>
      </w:tr>
      <w:tr w:rsidR="00000000" w14:paraId="2A932D77"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14C948A6" w14:textId="77777777" w:rsidR="004C67B7" w:rsidRPr="00445032" w:rsidRDefault="005B5528" w:rsidP="004C67B7">
            <w:pPr>
              <w:rPr>
                <w:iCs/>
              </w:rPr>
            </w:pPr>
            <w:r w:rsidRPr="00445032">
              <w:rPr>
                <w:iCs/>
              </w:rPr>
              <w:lastRenderedPageBreak/>
              <w:t>Item 10. Directors, Executiv</w:t>
            </w:r>
            <w:r w:rsidRPr="00445032">
              <w:rPr>
                <w:iCs/>
              </w:rPr>
              <w:t>e Officers and Corporate Governance</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8F4B2A5" w14:textId="77777777" w:rsidR="004C67B7" w:rsidRPr="00445032" w:rsidRDefault="005B5528" w:rsidP="004C67B7">
            <w:pPr>
              <w:jc w:val="center"/>
            </w:pPr>
            <w:r w:rsidRPr="00445032">
              <w:t>401</w:t>
            </w:r>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2E76091B" w14:textId="77777777" w:rsidR="004C67B7" w:rsidRPr="00445032" w:rsidRDefault="005B5528" w:rsidP="004C67B7">
            <w:pPr>
              <w:keepNext/>
              <w:keepLines/>
              <w:tabs>
                <w:tab w:val="left" w:pos="1248"/>
              </w:tabs>
            </w:pPr>
            <w:r w:rsidRPr="00445032">
              <w:t>Refer to the Goodwin Proxy Statement Form Check</w:t>
            </w:r>
          </w:p>
          <w:p w14:paraId="01482E40" w14:textId="77777777" w:rsidR="004C67B7" w:rsidRPr="00445032" w:rsidRDefault="005B5528" w:rsidP="004C67B7">
            <w:pPr>
              <w:keepNext/>
              <w:keepLines/>
              <w:tabs>
                <w:tab w:val="left" w:pos="1248"/>
              </w:tabs>
              <w:spacing w:after="120"/>
            </w:pPr>
            <w:r w:rsidRPr="00445032">
              <w:t>Item 7, Directors and Executive Officers (Item 7(b))</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4922EDC5" w14:textId="77777777" w:rsidR="004C67B7" w:rsidRPr="00780842"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5C0871F6"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8D60A"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2D081826"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4DF7A7AD"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6B4408E4" w14:textId="77777777" w:rsidR="004C67B7" w:rsidRPr="00445032" w:rsidRDefault="004C67B7" w:rsidP="004C67B7">
            <w:pPr>
              <w:rPr>
                <w:i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C160ACA" w14:textId="77777777" w:rsidR="004C67B7" w:rsidRPr="00445032" w:rsidRDefault="005B5528" w:rsidP="004C67B7">
            <w:pPr>
              <w:jc w:val="center"/>
            </w:pPr>
            <w:r w:rsidRPr="00445032">
              <w:t>405</w:t>
            </w:r>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64A8B9E0" w14:textId="77777777" w:rsidR="004C67B7" w:rsidRPr="00445032" w:rsidRDefault="005B5528" w:rsidP="004C67B7">
            <w:pPr>
              <w:keepNext/>
              <w:keepLines/>
              <w:tabs>
                <w:tab w:val="left" w:pos="1248"/>
              </w:tabs>
            </w:pPr>
            <w:r w:rsidRPr="00445032">
              <w:t>Refer to the Goodwin Proxy Statement Form Check</w:t>
            </w:r>
          </w:p>
          <w:p w14:paraId="37EFC60E" w14:textId="77777777" w:rsidR="004C67B7" w:rsidRPr="00445032" w:rsidRDefault="005B5528" w:rsidP="004C67B7">
            <w:pPr>
              <w:keepNext/>
              <w:keepLines/>
              <w:tabs>
                <w:tab w:val="left" w:pos="1248"/>
              </w:tabs>
              <w:spacing w:after="120"/>
            </w:pPr>
            <w:r w:rsidRPr="00445032">
              <w:t xml:space="preserve">Item 7, Directors and Executive Officers (Item </w:t>
            </w:r>
            <w:r w:rsidRPr="00445032">
              <w:t>7(b))</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048DCE59" w14:textId="77777777" w:rsidR="004C67B7" w:rsidRPr="00780842"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4F31D5D7"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E58B12"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121515F2"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4CBBA9F1" w14:textId="77777777" w:rsidTr="00240BD6">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30E86B9E" w14:textId="77777777" w:rsidR="004C67B7" w:rsidRDefault="004C67B7" w:rsidP="004C67B7">
            <w:pPr>
              <w:rPr>
                <w:i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5F756915" w14:textId="77777777" w:rsidR="004C67B7" w:rsidRPr="005F1AE2" w:rsidRDefault="005B5528" w:rsidP="004C67B7">
            <w:pPr>
              <w:jc w:val="center"/>
              <w:rPr>
                <w:highlight w:val="yellow"/>
              </w:rPr>
            </w:pPr>
            <w:hyperlink r:id="rId165" w:history="1">
              <w:r w:rsidRPr="0099173B">
                <w:rPr>
                  <w:rStyle w:val="Hyperlink"/>
                  <w:sz w:val="21"/>
                  <w:szCs w:val="21"/>
                </w:rPr>
                <w:t>406</w:t>
              </w:r>
            </w:hyperlink>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364D3EEB" w14:textId="77777777" w:rsidR="004C67B7" w:rsidRDefault="005B5528" w:rsidP="004C67B7">
            <w:pPr>
              <w:pStyle w:val="BodyText"/>
              <w:spacing w:after="120"/>
              <w:rPr>
                <w:b/>
                <w:bCs/>
              </w:rPr>
            </w:pPr>
            <w:r>
              <w:rPr>
                <w:b/>
                <w:bCs/>
              </w:rPr>
              <w:t>Required in Form 10-K, but the Form 10-K can incorporate this disclosure by reference to the company’s definitive proxy sta</w:t>
            </w:r>
            <w:r>
              <w:rPr>
                <w:b/>
                <w:bCs/>
              </w:rPr>
              <w:t>tement</w:t>
            </w:r>
          </w:p>
          <w:p w14:paraId="4C73939D" w14:textId="77777777" w:rsidR="004C67B7" w:rsidRPr="00356FEA" w:rsidRDefault="005B5528" w:rsidP="004C67B7">
            <w:pPr>
              <w:keepNext/>
              <w:keepLines/>
              <w:tabs>
                <w:tab w:val="left" w:pos="1248"/>
              </w:tabs>
              <w:spacing w:after="120"/>
              <w:rPr>
                <w:rFonts w:cs="Times New Roman"/>
                <w:sz w:val="21"/>
                <w:szCs w:val="21"/>
              </w:rPr>
            </w:pPr>
            <w:hyperlink r:id="rId166" w:history="1">
              <w:r w:rsidRPr="00356FEA">
                <w:rPr>
                  <w:rFonts w:cs="Times New Roman"/>
                  <w:color w:val="0000FF"/>
                  <w:sz w:val="21"/>
                  <w:szCs w:val="21"/>
                  <w:u w:val="single"/>
                </w:rPr>
                <w:t>Item 406 of Regulation S-K </w:t>
              </w:r>
            </w:hyperlink>
            <w:r w:rsidRPr="00356FEA">
              <w:rPr>
                <w:rFonts w:cs="Times New Roman"/>
                <w:sz w:val="21"/>
                <w:szCs w:val="21"/>
              </w:rPr>
              <w:t>requires the company to disclose whether it has adopted a code of ethics that applies to its principal executive of</w:t>
            </w:r>
            <w:r w:rsidRPr="00356FEA">
              <w:rPr>
                <w:rFonts w:cs="Times New Roman"/>
                <w:sz w:val="21"/>
                <w:szCs w:val="21"/>
              </w:rPr>
              <w:t>ficer, principal financial officer, principal accounting officer or controller, or persons performing similar functions.</w:t>
            </w:r>
          </w:p>
          <w:p w14:paraId="08F2CA80" w14:textId="77777777" w:rsidR="004C67B7" w:rsidRPr="00356FEA" w:rsidRDefault="005B5528" w:rsidP="004C67B7">
            <w:pPr>
              <w:keepNext/>
              <w:keepLines/>
              <w:tabs>
                <w:tab w:val="left" w:pos="1248"/>
              </w:tabs>
              <w:spacing w:after="120"/>
              <w:rPr>
                <w:rFonts w:cs="Times New Roman"/>
                <w:sz w:val="21"/>
                <w:szCs w:val="21"/>
              </w:rPr>
            </w:pPr>
            <w:r w:rsidRPr="00356FEA">
              <w:rPr>
                <w:rFonts w:cs="Times New Roman"/>
                <w:sz w:val="21"/>
                <w:szCs w:val="21"/>
              </w:rPr>
              <w:t>If the company has adopted a code of ethics, this disclosure should include how the company makes the code of ethics available as requi</w:t>
            </w:r>
            <w:r w:rsidRPr="00356FEA">
              <w:rPr>
                <w:rFonts w:cs="Times New Roman"/>
                <w:sz w:val="21"/>
                <w:szCs w:val="21"/>
              </w:rPr>
              <w:t>red by Item 406(c).  If the company posts the code of ethics on its website in compliance with Item 406(c)(2), this disclosure should identify the specific page on the company</w:t>
            </w:r>
            <w:r>
              <w:rPr>
                <w:rFonts w:cs="Times New Roman"/>
                <w:sz w:val="21"/>
                <w:szCs w:val="21"/>
              </w:rPr>
              <w:t>’</w:t>
            </w:r>
            <w:r w:rsidRPr="00356FEA">
              <w:rPr>
                <w:rFonts w:cs="Times New Roman"/>
                <w:sz w:val="21"/>
                <w:szCs w:val="21"/>
              </w:rPr>
              <w:t>s website where the code of ethics is available, not the company</w:t>
            </w:r>
            <w:r>
              <w:rPr>
                <w:rFonts w:cs="Times New Roman"/>
                <w:sz w:val="21"/>
                <w:szCs w:val="21"/>
              </w:rPr>
              <w:t>’</w:t>
            </w:r>
            <w:r w:rsidRPr="00356FEA">
              <w:rPr>
                <w:rFonts w:cs="Times New Roman"/>
                <w:sz w:val="21"/>
                <w:szCs w:val="21"/>
              </w:rPr>
              <w:t>s general websi</w:t>
            </w:r>
            <w:r w:rsidRPr="00356FEA">
              <w:rPr>
                <w:rFonts w:cs="Times New Roman"/>
                <w:sz w:val="21"/>
                <w:szCs w:val="21"/>
              </w:rPr>
              <w:t>te URL.</w:t>
            </w:r>
          </w:p>
          <w:p w14:paraId="654F4985" w14:textId="77777777" w:rsidR="004C67B7" w:rsidRPr="00356FEA" w:rsidRDefault="005B5528" w:rsidP="004C67B7">
            <w:pPr>
              <w:keepNext/>
              <w:keepLines/>
              <w:tabs>
                <w:tab w:val="left" w:pos="1248"/>
              </w:tabs>
              <w:spacing w:after="120"/>
              <w:rPr>
                <w:rFonts w:cs="Times New Roman"/>
                <w:sz w:val="21"/>
                <w:szCs w:val="21"/>
              </w:rPr>
            </w:pPr>
            <w:r w:rsidRPr="00356FEA">
              <w:rPr>
                <w:rFonts w:cs="Times New Roman"/>
                <w:sz w:val="21"/>
                <w:szCs w:val="21"/>
              </w:rPr>
              <w:t>If the company has not adopted such a code of ethics, it must explain why it has not done so.</w:t>
            </w:r>
          </w:p>
          <w:p w14:paraId="2DC455EC" w14:textId="77777777" w:rsidR="004C67B7" w:rsidRPr="00764E9F" w:rsidRDefault="005B5528" w:rsidP="004C67B7">
            <w:pPr>
              <w:keepNext/>
              <w:keepLines/>
              <w:tabs>
                <w:tab w:val="left" w:pos="1248"/>
              </w:tabs>
              <w:rPr>
                <w:sz w:val="21"/>
                <w:szCs w:val="21"/>
              </w:rPr>
            </w:pPr>
            <w:r>
              <w:rPr>
                <w:sz w:val="21"/>
                <w:szCs w:val="21"/>
              </w:rPr>
              <w:t>“</w:t>
            </w:r>
            <w:r w:rsidRPr="00764E9F">
              <w:rPr>
                <w:sz w:val="21"/>
                <w:szCs w:val="21"/>
              </w:rPr>
              <w:t>Code of ethics</w:t>
            </w:r>
            <w:r>
              <w:rPr>
                <w:sz w:val="21"/>
                <w:szCs w:val="21"/>
              </w:rPr>
              <w:t>”</w:t>
            </w:r>
            <w:r w:rsidRPr="00764E9F">
              <w:rPr>
                <w:sz w:val="21"/>
                <w:szCs w:val="21"/>
              </w:rPr>
              <w:t xml:space="preserve"> under </w:t>
            </w:r>
            <w:hyperlink r:id="rId167" w:anchor="p-229.406(b)" w:history="1">
              <w:r w:rsidRPr="00764E9F">
                <w:rPr>
                  <w:rStyle w:val="Hyperlink"/>
                  <w:sz w:val="21"/>
                  <w:szCs w:val="21"/>
                </w:rPr>
                <w:t>Item 40</w:t>
              </w:r>
              <w:r w:rsidRPr="00764E9F">
                <w:rPr>
                  <w:rStyle w:val="Hyperlink"/>
                  <w:sz w:val="21"/>
                  <w:szCs w:val="21"/>
                </w:rPr>
                <w:t>6(b)</w:t>
              </w:r>
            </w:hyperlink>
            <w:r w:rsidRPr="00764E9F">
              <w:rPr>
                <w:sz w:val="21"/>
                <w:szCs w:val="21"/>
              </w:rPr>
              <w:t xml:space="preserve"> means standards reasonably designed to deter wrongdoing and to promote ethical handling of actual or apparent conflicts of interest; full, fair, accurate, timely and understandable disclosure in filed reports; and compliance with applicable laws.</w:t>
            </w:r>
          </w:p>
          <w:p w14:paraId="60211A12" w14:textId="77777777" w:rsidR="004C67B7" w:rsidRPr="00764E9F" w:rsidRDefault="004C67B7" w:rsidP="004C67B7">
            <w:pPr>
              <w:keepNext/>
              <w:keepLines/>
              <w:tabs>
                <w:tab w:val="left" w:pos="1248"/>
              </w:tabs>
              <w:rPr>
                <w:sz w:val="21"/>
                <w:szCs w:val="21"/>
              </w:rPr>
            </w:pPr>
          </w:p>
          <w:p w14:paraId="70F20E7C" w14:textId="77777777" w:rsidR="004C67B7" w:rsidRPr="00764E9F" w:rsidRDefault="005B5528" w:rsidP="004C67B7">
            <w:pPr>
              <w:keepNext/>
              <w:keepLines/>
              <w:tabs>
                <w:tab w:val="left" w:pos="1248"/>
              </w:tabs>
              <w:rPr>
                <w:sz w:val="21"/>
                <w:szCs w:val="21"/>
              </w:rPr>
            </w:pPr>
            <w:hyperlink r:id="rId168" w:anchor="p-229.406(c)" w:history="1">
              <w:r w:rsidRPr="0099173B">
                <w:rPr>
                  <w:rStyle w:val="Hyperlink"/>
                  <w:sz w:val="21"/>
                  <w:szCs w:val="21"/>
                </w:rPr>
                <w:t>Item 406(c)</w:t>
              </w:r>
            </w:hyperlink>
            <w:r>
              <w:rPr>
                <w:sz w:val="21"/>
                <w:szCs w:val="21"/>
              </w:rPr>
              <w:t xml:space="preserve"> requires </w:t>
            </w:r>
            <w:r w:rsidRPr="00764E9F">
              <w:rPr>
                <w:sz w:val="21"/>
                <w:szCs w:val="21"/>
              </w:rPr>
              <w:t xml:space="preserve">the company </w:t>
            </w:r>
            <w:r>
              <w:rPr>
                <w:sz w:val="21"/>
                <w:szCs w:val="21"/>
              </w:rPr>
              <w:t>to</w:t>
            </w:r>
            <w:r w:rsidRPr="00764E9F">
              <w:rPr>
                <w:sz w:val="21"/>
                <w:szCs w:val="21"/>
              </w:rPr>
              <w:t xml:space="preserve"> file a copy of its code of ethics as an exhibit to the Form 10-K</w:t>
            </w:r>
            <w:r>
              <w:rPr>
                <w:sz w:val="21"/>
                <w:szCs w:val="21"/>
              </w:rPr>
              <w:t xml:space="preserve">, post the code of ethics on its </w:t>
            </w:r>
            <w:r>
              <w:rPr>
                <w:sz w:val="21"/>
                <w:szCs w:val="21"/>
              </w:rPr>
              <w:t>website or provide an undertaking to send copies of the code of ethics upon request, as described below</w:t>
            </w:r>
            <w:r w:rsidRPr="00764E9F">
              <w:rPr>
                <w:sz w:val="21"/>
                <w:szCs w:val="21"/>
              </w:rPr>
              <w:t xml:space="preserve">. </w:t>
            </w:r>
          </w:p>
          <w:p w14:paraId="1122A51C" w14:textId="77777777" w:rsidR="004C67B7" w:rsidRPr="00764E9F" w:rsidRDefault="004C67B7" w:rsidP="004C67B7">
            <w:pPr>
              <w:keepNext/>
              <w:keepLines/>
              <w:tabs>
                <w:tab w:val="left" w:pos="1248"/>
              </w:tabs>
              <w:rPr>
                <w:sz w:val="21"/>
                <w:szCs w:val="21"/>
              </w:rPr>
            </w:pPr>
          </w:p>
          <w:p w14:paraId="7924D299" w14:textId="77777777" w:rsidR="004C67B7" w:rsidRPr="00764E9F" w:rsidRDefault="005B5528" w:rsidP="004C67B7">
            <w:pPr>
              <w:keepNext/>
              <w:keepLines/>
              <w:tabs>
                <w:tab w:val="left" w:pos="1248"/>
              </w:tabs>
              <w:spacing w:after="120"/>
              <w:rPr>
                <w:sz w:val="21"/>
                <w:szCs w:val="21"/>
              </w:rPr>
            </w:pPr>
            <w:r>
              <w:rPr>
                <w:sz w:val="21"/>
                <w:szCs w:val="21"/>
              </w:rPr>
              <w:t>Confirm that the disclosure required by Item 406 is incorporated by reference from the company’s definitive proxy statement or is included in the For</w:t>
            </w:r>
            <w:r>
              <w:rPr>
                <w:sz w:val="21"/>
                <w:szCs w:val="21"/>
              </w:rPr>
              <w:t>m 10-K.  I</w:t>
            </w:r>
            <w:r w:rsidRPr="00356FEA">
              <w:rPr>
                <w:sz w:val="21"/>
                <w:szCs w:val="21"/>
              </w:rPr>
              <w:t>f the company posts the code of ethics on its website, confirm that the website address is a direct link to the code of ethics.</w:t>
            </w:r>
          </w:p>
        </w:tc>
        <w:tc>
          <w:tcPr>
            <w:tcW w:w="925" w:type="pct"/>
            <w:shd w:val="clear" w:color="auto" w:fill="auto"/>
          </w:tcPr>
          <w:p w14:paraId="14B036F7" w14:textId="77777777" w:rsidR="004C67B7" w:rsidRDefault="005B5528" w:rsidP="004C67B7">
            <w:pPr>
              <w:pStyle w:val="BodyText"/>
            </w:pPr>
            <w:r>
              <w:t xml:space="preserve">The </w:t>
            </w:r>
            <w:hyperlink r:id="rId169" w:history="1">
              <w:r w:rsidRPr="007F07FB">
                <w:rPr>
                  <w:rStyle w:val="Hyperlink"/>
                </w:rPr>
                <w:t>adopting release</w:t>
              </w:r>
            </w:hyperlink>
            <w:r>
              <w:t xml:space="preserve"> states as follows in Section III, Pa</w:t>
            </w:r>
            <w:r>
              <w:t>perwork Reduction Act::</w:t>
            </w:r>
          </w:p>
          <w:p w14:paraId="47394D1D" w14:textId="77777777" w:rsidR="004C67B7" w:rsidRDefault="005B5528" w:rsidP="004C67B7">
            <w:pPr>
              <w:pStyle w:val="BodyText"/>
              <w:spacing w:after="120"/>
            </w:pPr>
            <w:r>
              <w:t>A. Summary of Amendments</w:t>
            </w:r>
          </w:p>
          <w:p w14:paraId="7C5031E4" w14:textId="77777777" w:rsidR="004C67B7" w:rsidRDefault="005B5528" w:rsidP="004C67B7">
            <w:pPr>
              <w:pStyle w:val="BodyText"/>
            </w:pPr>
            <w:r>
              <w:t>The amendments require two new types of disclosure that must be included in Form 10-K, Form 10-KSB, Form 20-F and Form 40-F</w:t>
            </w:r>
            <w:r w:rsidRPr="007F07FB">
              <w:rPr>
                <w:i/>
                <w:iCs/>
              </w:rPr>
              <w:t>. A domestic company may, at its discretion, provide the new disclosures in its prox</w:t>
            </w:r>
            <w:r w:rsidRPr="007F07FB">
              <w:rPr>
                <w:i/>
                <w:iCs/>
              </w:rPr>
              <w:t>y or information statement on Schedule 14A or 14C and incorporate those disclosures by reference into its annual report.</w:t>
            </w:r>
            <w:r>
              <w:rPr>
                <w:i/>
                <w:iCs/>
              </w:rPr>
              <w:t xml:space="preserve">  </w:t>
            </w:r>
            <w:r>
              <w:t>(emphasis added)</w:t>
            </w:r>
          </w:p>
          <w:p w14:paraId="2B96E84C" w14:textId="77777777" w:rsidR="004C67B7" w:rsidRPr="00780842" w:rsidRDefault="005B5528" w:rsidP="004C67B7">
            <w:pPr>
              <w:spacing w:after="120"/>
            </w:pPr>
            <w:hyperlink r:id="rId170" w:history="1">
              <w:r w:rsidRPr="00345658">
                <w:rPr>
                  <w:rStyle w:val="Hyperlink"/>
                </w:rPr>
                <w:t>Disclosure Required by Sections 406 and 407 of the Sarban</w:t>
              </w:r>
              <w:r w:rsidRPr="00345658">
                <w:rPr>
                  <w:rStyle w:val="Hyperlink"/>
                </w:rPr>
                <w:t>es Oxley Act of 2002</w:t>
              </w:r>
            </w:hyperlink>
            <w:r>
              <w:t>, Release Nos. 33-8177; 34-47235 (January 23, 2003)</w:t>
            </w: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575A77CF"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B335FD"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2A2AF311"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73EB1BB6"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5673696D" w14:textId="77777777" w:rsidR="004C67B7" w:rsidRDefault="004C67B7" w:rsidP="004C67B7">
            <w:pPr>
              <w:rPr>
                <w:i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4A06380" w14:textId="77777777" w:rsidR="004C67B7" w:rsidRPr="00256601" w:rsidRDefault="005B5528" w:rsidP="004C67B7">
            <w:pPr>
              <w:jc w:val="center"/>
            </w:pPr>
            <w:hyperlink r:id="rId171" w:anchor="p-229.406(c)" w:history="1">
              <w:r w:rsidRPr="00256601">
                <w:rPr>
                  <w:rStyle w:val="Hyperlink"/>
                </w:rPr>
                <w:t>406(c)</w:t>
              </w:r>
            </w:hyperlink>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3815E45E" w14:textId="77777777" w:rsidR="004C67B7" w:rsidRPr="00256601" w:rsidRDefault="005B5528" w:rsidP="004C67B7">
            <w:pPr>
              <w:keepNext/>
              <w:keepLines/>
              <w:tabs>
                <w:tab w:val="left" w:pos="1248"/>
              </w:tabs>
            </w:pPr>
            <w:hyperlink r:id="rId172" w:anchor="p-229.406(c)" w:history="1">
              <w:r w:rsidRPr="00256601">
                <w:rPr>
                  <w:rStyle w:val="Hyperlink"/>
                </w:rPr>
                <w:t>Item 406(c)</w:t>
              </w:r>
            </w:hyperlink>
            <w:r w:rsidRPr="00256601">
              <w:t xml:space="preserve"> requires the company to do one of the following:</w:t>
            </w:r>
          </w:p>
          <w:p w14:paraId="3AE6ACD6" w14:textId="77777777" w:rsidR="004C67B7" w:rsidRPr="00256601" w:rsidRDefault="004C67B7" w:rsidP="004C67B7">
            <w:pPr>
              <w:keepNext/>
              <w:keepLines/>
              <w:tabs>
                <w:tab w:val="left" w:pos="1248"/>
              </w:tabs>
            </w:pPr>
          </w:p>
          <w:p w14:paraId="3E815A8B" w14:textId="77777777" w:rsidR="004C67B7" w:rsidRPr="00256601" w:rsidRDefault="005B5528" w:rsidP="004C67B7">
            <w:pPr>
              <w:keepNext/>
              <w:keepLines/>
              <w:numPr>
                <w:ilvl w:val="0"/>
                <w:numId w:val="32"/>
              </w:numPr>
              <w:ind w:left="342" w:hanging="180"/>
            </w:pPr>
            <w:r w:rsidRPr="00256601">
              <w:t>File with the SEC a copy of its code of ethics that applies to the company’s principal executive officer,</w:t>
            </w:r>
            <w:r w:rsidRPr="00256601">
              <w:t xml:space="preserve"> principal financial officer, principal accounting officer or controller, or persons performing similar functions, as an exhibit to its Form 10-K; </w:t>
            </w:r>
          </w:p>
          <w:p w14:paraId="037B674F" w14:textId="77777777" w:rsidR="004C67B7" w:rsidRPr="00256601" w:rsidRDefault="004C67B7" w:rsidP="004C67B7">
            <w:pPr>
              <w:keepNext/>
              <w:keepLines/>
              <w:ind w:left="342"/>
            </w:pPr>
          </w:p>
          <w:p w14:paraId="3036E8E3" w14:textId="77777777" w:rsidR="004C67B7" w:rsidRPr="00256601" w:rsidRDefault="005B5528" w:rsidP="004C67B7">
            <w:pPr>
              <w:keepNext/>
              <w:keepLines/>
              <w:numPr>
                <w:ilvl w:val="0"/>
                <w:numId w:val="32"/>
              </w:numPr>
              <w:ind w:left="342" w:hanging="180"/>
            </w:pPr>
            <w:r w:rsidRPr="00256601">
              <w:t>Post the text of such code of ethics on its website and disclose, in its Form 10-K, the website address and</w:t>
            </w:r>
            <w:r w:rsidRPr="00256601">
              <w:t xml:space="preserve"> the fact that it has posted the code of ethics on its website; or </w:t>
            </w:r>
          </w:p>
          <w:p w14:paraId="4591263B" w14:textId="77777777" w:rsidR="004C67B7" w:rsidRPr="00256601" w:rsidRDefault="004C67B7" w:rsidP="004C67B7">
            <w:pPr>
              <w:keepNext/>
              <w:keepLines/>
              <w:ind w:left="342"/>
            </w:pPr>
          </w:p>
          <w:p w14:paraId="6C747022" w14:textId="77777777" w:rsidR="004C67B7" w:rsidRPr="00256601" w:rsidRDefault="005B5528" w:rsidP="004C67B7">
            <w:pPr>
              <w:keepNext/>
              <w:keepLines/>
              <w:numPr>
                <w:ilvl w:val="0"/>
                <w:numId w:val="32"/>
              </w:numPr>
              <w:ind w:left="342" w:hanging="180"/>
            </w:pPr>
            <w:r w:rsidRPr="00256601">
              <w:t>Undertake in its Form 10-K to provide to any person without charge, upon request, a copy of the code of ethics and explain the manner in which the request may be made.</w:t>
            </w:r>
          </w:p>
          <w:p w14:paraId="49FECC3A" w14:textId="77777777" w:rsidR="004C67B7" w:rsidRPr="00256601" w:rsidRDefault="004C67B7" w:rsidP="004C67B7">
            <w:pPr>
              <w:pStyle w:val="ListParagraph"/>
            </w:pPr>
          </w:p>
          <w:p w14:paraId="4EED9AEC" w14:textId="77777777" w:rsidR="004C67B7" w:rsidRPr="00256601" w:rsidRDefault="005B5528" w:rsidP="004C67B7">
            <w:pPr>
              <w:keepNext/>
              <w:keepLines/>
            </w:pPr>
            <w:r w:rsidRPr="00256601">
              <w:t>If the company ele</w:t>
            </w:r>
            <w:r w:rsidRPr="00256601">
              <w:t xml:space="preserve">cts to satisfy Item 406(c) by posting its code of ethics on its website pursuant to paragraph (c)(2), the code of ethics must remain accessible on the company’s website for as long as the company remains subject to the requirements of Item 406 and chooses </w:t>
            </w:r>
            <w:r w:rsidRPr="00256601">
              <w:t>to comply with Item 406 by posting the code on its website pursuant to Item 406(c)(2).  Most companies comply with Item 406(c) by posting the code of ethics on the company’s website.</w:t>
            </w:r>
          </w:p>
          <w:p w14:paraId="0C5D1F03" w14:textId="77777777" w:rsidR="004C67B7" w:rsidRPr="00256601" w:rsidRDefault="004C67B7" w:rsidP="004C67B7">
            <w:pPr>
              <w:keepNext/>
              <w:keepLines/>
            </w:pPr>
          </w:p>
          <w:p w14:paraId="6B7B704F" w14:textId="77777777" w:rsidR="004C67B7" w:rsidRPr="00256601" w:rsidRDefault="005B5528" w:rsidP="004C67B7">
            <w:pPr>
              <w:keepNext/>
              <w:keepLines/>
            </w:pPr>
            <w:r w:rsidRPr="00256601">
              <w:t>If the company complies with Item 406(c) by posting its code of ethics o</w:t>
            </w:r>
            <w:r w:rsidRPr="00256601">
              <w:t>n its website, go to the company’s website and confirm that the code of ethics has been posted in compliance with Item 406(c)(2).</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799065B5" w14:textId="77777777" w:rsidR="004C67B7" w:rsidRPr="00780842"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339AB6E2"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6C5C1"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6EBD6C28"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1027B270"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1D930596" w14:textId="77777777" w:rsidR="004C67B7" w:rsidRDefault="004C67B7" w:rsidP="004C67B7">
            <w:pPr>
              <w:rPr>
                <w:i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C4A17B2" w14:textId="77777777" w:rsidR="004C67B7" w:rsidRPr="00CF44CE" w:rsidRDefault="005B5528" w:rsidP="004C67B7">
            <w:pPr>
              <w:jc w:val="center"/>
            </w:pPr>
            <w:hyperlink r:id="rId173" w:anchor="p-229.407(c)(3)" w:history="1">
              <w:r w:rsidRPr="00585E6E">
                <w:rPr>
                  <w:rStyle w:val="Hyperlink"/>
                  <w:sz w:val="21"/>
                  <w:szCs w:val="21"/>
                </w:rPr>
                <w:t>407(c)(3)</w:t>
              </w:r>
            </w:hyperlink>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317BD717" w14:textId="77777777" w:rsidR="004C67B7" w:rsidRDefault="005B5528" w:rsidP="004C67B7">
            <w:pPr>
              <w:pStyle w:val="BodyText"/>
              <w:rPr>
                <w:rFonts w:cs="Times New Roman"/>
                <w:b/>
                <w:bCs/>
                <w:color w:val="FF0000"/>
              </w:rPr>
            </w:pPr>
            <w:r w:rsidRPr="000E17DC">
              <w:rPr>
                <w:color w:val="FF0000"/>
              </w:rPr>
              <w:t>►</w:t>
            </w:r>
            <w:r w:rsidRPr="000E17DC">
              <w:rPr>
                <w:rFonts w:cs="Times New Roman"/>
                <w:b/>
                <w:bCs/>
                <w:color w:val="FF0000"/>
              </w:rPr>
              <w:t xml:space="preserve"> Fo</w:t>
            </w:r>
            <w:r w:rsidRPr="000E17DC">
              <w:rPr>
                <w:rFonts w:cs="Times New Roman"/>
                <w:b/>
                <w:bCs/>
                <w:color w:val="FF0000"/>
              </w:rPr>
              <w:t>rward incorporation from proxy statement is not possible</w:t>
            </w:r>
            <w:r>
              <w:rPr>
                <w:rFonts w:cs="Times New Roman"/>
                <w:b/>
                <w:bCs/>
                <w:color w:val="FF0000"/>
              </w:rPr>
              <w:t>.</w:t>
            </w:r>
          </w:p>
          <w:p w14:paraId="76F75582" w14:textId="77777777" w:rsidR="004C67B7" w:rsidRDefault="005B5528" w:rsidP="004C67B7">
            <w:pPr>
              <w:keepNext/>
              <w:keepLines/>
              <w:spacing w:after="120"/>
            </w:pPr>
            <w:r>
              <w:rPr>
                <w:rFonts w:cs="Times New Roman"/>
                <w:b/>
                <w:bCs/>
                <w:color w:val="FF0000"/>
              </w:rPr>
              <w:t xml:space="preserve">►A </w:t>
            </w:r>
            <w:r w:rsidRPr="000E17DC">
              <w:rPr>
                <w:rFonts w:cs="Times New Roman"/>
                <w:b/>
                <w:bCs/>
                <w:color w:val="FF0000"/>
              </w:rPr>
              <w:t>Form 10-K form check require</w:t>
            </w:r>
            <w:r>
              <w:rPr>
                <w:rFonts w:cs="Times New Roman"/>
                <w:b/>
                <w:bCs/>
                <w:color w:val="FF0000"/>
              </w:rPr>
              <w:t>s</w:t>
            </w:r>
            <w:r w:rsidRPr="000E17DC">
              <w:rPr>
                <w:rFonts w:cs="Times New Roman"/>
                <w:b/>
                <w:bCs/>
                <w:color w:val="FF0000"/>
              </w:rPr>
              <w:t xml:space="preserve"> review </w:t>
            </w:r>
            <w:r>
              <w:rPr>
                <w:rFonts w:cs="Times New Roman"/>
                <w:b/>
                <w:bCs/>
                <w:color w:val="FF0000"/>
              </w:rPr>
              <w:t xml:space="preserve">of Item 407(c)(3) disclosure </w:t>
            </w:r>
            <w:r w:rsidRPr="000E17DC">
              <w:rPr>
                <w:rFonts w:cs="Times New Roman"/>
                <w:b/>
                <w:bCs/>
                <w:color w:val="FF0000"/>
              </w:rPr>
              <w:t>even if company will rely on forward incorporation</w:t>
            </w:r>
            <w:r>
              <w:rPr>
                <w:rFonts w:cs="Times New Roman"/>
                <w:b/>
                <w:bCs/>
                <w:color w:val="FF0000"/>
              </w:rPr>
              <w:t>.</w:t>
            </w:r>
          </w:p>
          <w:p w14:paraId="0998595C" w14:textId="77777777" w:rsidR="004C67B7" w:rsidRDefault="005B5528" w:rsidP="004C67B7">
            <w:pPr>
              <w:keepNext/>
              <w:keepLines/>
              <w:spacing w:after="120"/>
            </w:pPr>
            <w:hyperlink r:id="rId174" w:anchor="p-229.407(c)(3)" w:history="1">
              <w:r w:rsidRPr="00585E6E">
                <w:rPr>
                  <w:rStyle w:val="Hyperlink"/>
                </w:rPr>
                <w:t>Item 407(c)(3)</w:t>
              </w:r>
            </w:hyperlink>
            <w:r>
              <w:t xml:space="preserve"> of Regulation S-K </w:t>
            </w:r>
            <w:r w:rsidRPr="00CF44CE">
              <w:t xml:space="preserve">requires </w:t>
            </w:r>
            <w:r>
              <w:t xml:space="preserve">the company to disclose </w:t>
            </w:r>
            <w:r w:rsidRPr="00BF432E">
              <w:t xml:space="preserve">any material changes to the procedures by which security holders may recommend nominees to the </w:t>
            </w:r>
            <w:r>
              <w:t>company’s</w:t>
            </w:r>
            <w:r w:rsidRPr="00BF432E">
              <w:t xml:space="preserve"> board of directors</w:t>
            </w:r>
            <w:r>
              <w:t xml:space="preserve"> if the company</w:t>
            </w:r>
            <w:r w:rsidRPr="00BF432E">
              <w:t xml:space="preserve"> implemented </w:t>
            </w:r>
            <w:r>
              <w:t xml:space="preserve">those changes after </w:t>
            </w:r>
            <w:r>
              <w:t>the company’s most recent</w:t>
            </w:r>
            <w:r w:rsidRPr="00BF432E">
              <w:t xml:space="preserve"> disclosure in response to the requirements of </w:t>
            </w:r>
            <w:hyperlink r:id="rId175" w:anchor="p-229.407(c)(2)(iv)" w:history="1">
              <w:r w:rsidRPr="00585E6E">
                <w:rPr>
                  <w:rStyle w:val="Hyperlink"/>
                </w:rPr>
                <w:t>Item 407(c)(2)(iv)</w:t>
              </w:r>
            </w:hyperlink>
            <w:r>
              <w:t xml:space="preserve"> and </w:t>
            </w:r>
            <w:hyperlink r:id="rId176" w:anchor="p-229.407(c)(3)" w:history="1">
              <w:r w:rsidRPr="00585E6E">
                <w:rPr>
                  <w:rStyle w:val="Hyperlink"/>
                </w:rPr>
                <w:t>Item 407(c)(3)</w:t>
              </w:r>
            </w:hyperlink>
            <w:r>
              <w:t>.</w:t>
            </w:r>
          </w:p>
          <w:p w14:paraId="34A8DF16" w14:textId="77777777" w:rsidR="004C67B7" w:rsidRDefault="005B5528" w:rsidP="004C67B7">
            <w:pPr>
              <w:keepNext/>
              <w:keepLines/>
              <w:spacing w:after="120"/>
            </w:pPr>
            <w:r>
              <w:t xml:space="preserve">This disclosure is </w:t>
            </w:r>
            <w:hyperlink r:id="rId177" w:anchor="p-229.407(c)(3)" w:history="1">
              <w:r w:rsidRPr="005B0359">
                <w:rPr>
                  <w:rStyle w:val="Hyperlink"/>
                  <w:i/>
                  <w:iCs/>
                </w:rPr>
                <w:t>not</w:t>
              </w:r>
              <w:r w:rsidRPr="005B0359">
                <w:rPr>
                  <w:rStyle w:val="Hyperlink"/>
                </w:rPr>
                <w:t xml:space="preserve"> required</w:t>
              </w:r>
            </w:hyperlink>
            <w:r>
              <w:t xml:space="preserve"> in a company’s proxy statement, and there is no written guidance indicating t</w:t>
            </w:r>
            <w:r>
              <w:t>hat a company can satisfy the requirement to disclose this information in its Form 10-K, if applicable, by incorporating the disclosure by reference from its definitive proxy statement.</w:t>
            </w:r>
          </w:p>
          <w:p w14:paraId="4D831F77" w14:textId="77777777" w:rsidR="004C67B7" w:rsidRDefault="005B5528" w:rsidP="004C67B7">
            <w:pPr>
              <w:keepNext/>
              <w:keepLines/>
              <w:spacing w:after="120"/>
            </w:pPr>
            <w:r>
              <w:t>Therefore, if the company implemented a material change for which disc</w:t>
            </w:r>
            <w:r>
              <w:t>losure would be required after the company’s most recent disclosure under</w:t>
            </w:r>
            <w:r w:rsidRPr="00BF432E">
              <w:t xml:space="preserve"> </w:t>
            </w:r>
            <w:hyperlink r:id="rId178" w:anchor="p-229.407(c)(2)(iv)" w:history="1">
              <w:r w:rsidRPr="00585E6E">
                <w:rPr>
                  <w:rStyle w:val="Hyperlink"/>
                </w:rPr>
                <w:t>Item 407(c)(2)(iv)</w:t>
              </w:r>
            </w:hyperlink>
            <w:r>
              <w:t xml:space="preserve"> or </w:t>
            </w:r>
            <w:hyperlink r:id="rId179" w:anchor="p-229.407(c)(3)" w:history="1">
              <w:r w:rsidRPr="00585E6E">
                <w:rPr>
                  <w:rStyle w:val="Hyperlink"/>
                </w:rPr>
                <w:t>Item 407(c)(3)</w:t>
              </w:r>
            </w:hyperlink>
            <w:r>
              <w:t>, the company must provide this disclosure in the Form 10</w:t>
            </w:r>
            <w:r>
              <w:noBreakHyphen/>
              <w:t>K.</w:t>
            </w:r>
          </w:p>
          <w:p w14:paraId="3A5AF538" w14:textId="77777777" w:rsidR="004C67B7" w:rsidRPr="009B28B2" w:rsidRDefault="005B5528" w:rsidP="004C67B7">
            <w:pPr>
              <w:keepNext/>
              <w:keepLines/>
              <w:spacing w:after="120"/>
            </w:pPr>
            <w:r w:rsidRPr="009B28B2">
              <w:t>For purposes of Item 407(c)(3), adoption of procedures by which security holders may recommend nominees to the company</w:t>
            </w:r>
            <w:r>
              <w:t>’</w:t>
            </w:r>
            <w:r w:rsidRPr="009B28B2">
              <w:t>s board of directors, wher</w:t>
            </w:r>
            <w:r w:rsidRPr="009B28B2">
              <w:t>e the company</w:t>
            </w:r>
            <w:r>
              <w:t>’</w:t>
            </w:r>
            <w:r w:rsidRPr="009B28B2">
              <w:t xml:space="preserve">s most recent disclosure in response to the requirements of </w:t>
            </w:r>
            <w:hyperlink r:id="rId180" w:anchor="p-229.407(c)(2)(iv)" w:history="1">
              <w:r w:rsidRPr="009B28B2">
                <w:rPr>
                  <w:color w:val="0000FF"/>
                  <w:u w:val="single"/>
                </w:rPr>
                <w:t>Item 407(c)(2)(iv)</w:t>
              </w:r>
            </w:hyperlink>
            <w:r w:rsidRPr="009B28B2">
              <w:t xml:space="preserve"> or </w:t>
            </w:r>
            <w:hyperlink r:id="rId181" w:anchor="p-229.407(c)(3)" w:history="1">
              <w:r w:rsidRPr="009B28B2">
                <w:rPr>
                  <w:color w:val="0000FF"/>
                  <w:u w:val="single"/>
                </w:rPr>
                <w:t>Item 407(c)(3)</w:t>
              </w:r>
            </w:hyperlink>
            <w:r w:rsidRPr="009B28B2">
              <w:t xml:space="preserve"> indicated that the company did not have in place such procedures, will constitute a material change requiring disclosure in the Form 10-</w:t>
            </w:r>
            <w:r>
              <w:t>K</w:t>
            </w:r>
            <w:r w:rsidRPr="009B28B2">
              <w:t>.</w:t>
            </w:r>
          </w:p>
          <w:p w14:paraId="4E7E28C7" w14:textId="77777777" w:rsidR="004C67B7" w:rsidRPr="00585E6E" w:rsidRDefault="005B5528" w:rsidP="004C67B7">
            <w:pPr>
              <w:keepNext/>
              <w:keepLines/>
              <w:spacing w:after="120"/>
            </w:pPr>
            <w:r>
              <w:t>Confirm that the disclosure required by Item 407(c)(3) is included</w:t>
            </w:r>
            <w:r>
              <w:t xml:space="preserve"> in the Form 10-K, if applicable.</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58EF466A" w14:textId="77777777" w:rsidR="004C67B7" w:rsidRPr="00780842"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6E6D2E77"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C82E3"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285641D1"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59E8D679" w14:textId="77777777" w:rsidTr="00240BD6">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5DF53F6A" w14:textId="77777777" w:rsidR="004C67B7" w:rsidRDefault="005B5528" w:rsidP="004C67B7">
            <w:pPr>
              <w:rPr>
                <w:iCs/>
              </w:rPr>
            </w:pPr>
            <w:r>
              <w:rPr>
                <w:iCs/>
              </w:rPr>
              <w:lastRenderedPageBreak/>
              <w:t>[Audit Committee Report]</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48E9F59" w14:textId="77777777" w:rsidR="004C67B7" w:rsidRDefault="005B5528" w:rsidP="004C67B7">
            <w:pPr>
              <w:jc w:val="center"/>
            </w:pPr>
            <w:r>
              <w:t>407(d)(3)</w:t>
            </w:r>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0E83EB02" w14:textId="77777777" w:rsidR="004C67B7" w:rsidRPr="00E47B30" w:rsidRDefault="005B5528" w:rsidP="004C67B7">
            <w:pPr>
              <w:spacing w:after="240"/>
            </w:pPr>
            <w:r>
              <w:t xml:space="preserve">Item 407(d)(3) requires a report of the audit committee, over the signatures of the members of the audit committee, that covers specified audit-related matters.  The audit </w:t>
            </w:r>
            <w:r>
              <w:t>committee report is not required in Form 10-K, so if the company files a Form 10-K/A amendment because the definitive proxy statement containing the Part III disclosure within 120 after the end of its fiscal year, the audit committee report required by Ite</w:t>
            </w:r>
            <w:r>
              <w:t>m 407(d)(3) is not required in the Form 10-K/A.</w:t>
            </w:r>
          </w:p>
        </w:tc>
        <w:tc>
          <w:tcPr>
            <w:tcW w:w="925" w:type="pct"/>
            <w:shd w:val="clear" w:color="auto" w:fill="auto"/>
          </w:tcPr>
          <w:p w14:paraId="75DB5EC0" w14:textId="77777777" w:rsidR="004C67B7" w:rsidRPr="00780842"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7BCEE056"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1355C" w14:textId="77777777" w:rsidR="004C67B7" w:rsidRPr="00DB5740" w:rsidRDefault="004C67B7" w:rsidP="004C67B7">
            <w:pPr>
              <w:jc w:val="center"/>
            </w:pPr>
          </w:p>
        </w:tc>
      </w:tr>
      <w:tr w:rsidR="00000000" w14:paraId="3332BB60" w14:textId="77777777" w:rsidTr="00240BD6">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5478C7CF" w14:textId="77777777" w:rsidR="004C67B7" w:rsidRDefault="005B5528" w:rsidP="004C67B7">
            <w:pPr>
              <w:rPr>
                <w:iCs/>
              </w:rPr>
            </w:pPr>
            <w:r>
              <w:rPr>
                <w:iCs/>
              </w:rPr>
              <w:t>[Audit Committee]</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38962099" w14:textId="77777777" w:rsidR="004C67B7" w:rsidRPr="00096441" w:rsidRDefault="005B5528" w:rsidP="004C67B7">
            <w:pPr>
              <w:jc w:val="center"/>
            </w:pPr>
            <w:hyperlink r:id="rId182" w:anchor="p-229.407(d)(4)" w:history="1">
              <w:r w:rsidRPr="00620707">
                <w:rPr>
                  <w:rStyle w:val="Hyperlink"/>
                </w:rPr>
                <w:t>407(d)(4)</w:t>
              </w:r>
            </w:hyperlink>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726D6399" w14:textId="77777777" w:rsidR="004C67B7" w:rsidRDefault="005B5528" w:rsidP="004C67B7">
            <w:pPr>
              <w:spacing w:after="240"/>
            </w:pPr>
            <w:r w:rsidRPr="00E47B30">
              <w:t xml:space="preserve">Item </w:t>
            </w:r>
            <w:hyperlink r:id="rId183" w:anchor="p-229.407(d)(4)" w:history="1">
              <w:r w:rsidRPr="00E47B30">
                <w:rPr>
                  <w:rStyle w:val="Hyperlink"/>
                </w:rPr>
                <w:t>407(d)(4)</w:t>
              </w:r>
            </w:hyperlink>
            <w:r>
              <w:t xml:space="preserve"> (Summary)</w:t>
            </w:r>
          </w:p>
          <w:p w14:paraId="6992D280" w14:textId="77777777" w:rsidR="004C67B7" w:rsidRDefault="005B5528" w:rsidP="004C67B7">
            <w:pPr>
              <w:spacing w:after="240"/>
            </w:pPr>
            <w:r>
              <w:t>If the company is a “</w:t>
            </w:r>
            <w:hyperlink r:id="rId184" w:history="1">
              <w:r w:rsidRPr="00B338F4">
                <w:rPr>
                  <w:rStyle w:val="Hyperlink"/>
                </w:rPr>
                <w:t>listed issuer</w:t>
              </w:r>
            </w:hyperlink>
            <w:r>
              <w:rPr>
                <w:rStyle w:val="Hyperlink"/>
              </w:rPr>
              <w:t>”</w:t>
            </w:r>
            <w:r>
              <w:t xml:space="preserve"> and is filing an annual report on Form 10-K or a proxy or information statement for a meeting at which directors will be e</w:t>
            </w:r>
            <w:r>
              <w:t>lected and the company is not relying on an exemption under Rule 10A-3(c)(2) or (c)(4)-(c)(7):</w:t>
            </w:r>
          </w:p>
          <w:p w14:paraId="40A26452" w14:textId="77777777" w:rsidR="004C67B7" w:rsidRDefault="005B5528" w:rsidP="004C67B7">
            <w:pPr>
              <w:pStyle w:val="ListParagraph"/>
              <w:numPr>
                <w:ilvl w:val="0"/>
                <w:numId w:val="35"/>
              </w:numPr>
              <w:spacing w:after="240"/>
            </w:pPr>
            <w:r>
              <w:t>State</w:t>
            </w:r>
            <w:r w:rsidRPr="00E47B30">
              <w:t xml:space="preserve"> whether or not the company has a separately designated audit committee or a committee performing similar functions. </w:t>
            </w:r>
          </w:p>
          <w:p w14:paraId="30EF863E" w14:textId="77777777" w:rsidR="004C67B7" w:rsidRDefault="005B5528" w:rsidP="004C67B7">
            <w:pPr>
              <w:pStyle w:val="ListParagraph"/>
              <w:numPr>
                <w:ilvl w:val="0"/>
                <w:numId w:val="35"/>
              </w:numPr>
              <w:spacing w:after="240"/>
            </w:pPr>
            <w:r w:rsidRPr="00E47B30">
              <w:t>If it does, identify each member.</w:t>
            </w:r>
          </w:p>
          <w:p w14:paraId="6FFDB3F0" w14:textId="77777777" w:rsidR="004C67B7" w:rsidRPr="00E47B30" w:rsidRDefault="005B5528" w:rsidP="004C67B7">
            <w:pPr>
              <w:pStyle w:val="ListParagraph"/>
              <w:numPr>
                <w:ilvl w:val="0"/>
                <w:numId w:val="35"/>
              </w:numPr>
              <w:spacing w:after="240"/>
            </w:pPr>
            <w:r>
              <w:t>If t</w:t>
            </w:r>
            <w:r>
              <w:t>he entire board acts as the audit committee, state that fact.</w:t>
            </w:r>
          </w:p>
          <w:p w14:paraId="72ECFFF6" w14:textId="77777777" w:rsidR="004C67B7" w:rsidRDefault="005B5528" w:rsidP="004C67B7">
            <w:pPr>
              <w:keepNext/>
              <w:keepLines/>
              <w:tabs>
                <w:tab w:val="left" w:pos="1248"/>
              </w:tabs>
            </w:pPr>
            <w:r w:rsidRPr="00E47B30">
              <w:t xml:space="preserve">Note that in specific cases this disclosure is subject to additional </w:t>
            </w:r>
            <w:r>
              <w:t xml:space="preserve">disclosure </w:t>
            </w:r>
            <w:r w:rsidRPr="00E47B30">
              <w:t xml:space="preserve">requirements and </w:t>
            </w:r>
            <w:r>
              <w:t>limited</w:t>
            </w:r>
            <w:r w:rsidRPr="00E47B30">
              <w:t xml:space="preserve"> exemptions</w:t>
            </w:r>
            <w:r>
              <w:t xml:space="preserve"> under </w:t>
            </w:r>
            <w:r w:rsidRPr="00DF7B5B">
              <w:t>Item 407(d)(4)(ii)</w:t>
            </w:r>
            <w:r>
              <w:t xml:space="preserve"> and Rule 10A-3.</w:t>
            </w:r>
          </w:p>
          <w:p w14:paraId="0924714A" w14:textId="77777777" w:rsidR="004C67B7" w:rsidRDefault="004C67B7" w:rsidP="004C67B7">
            <w:pPr>
              <w:keepNext/>
              <w:keepLines/>
              <w:tabs>
                <w:tab w:val="left" w:pos="1248"/>
              </w:tabs>
            </w:pPr>
          </w:p>
          <w:p w14:paraId="561ACD2B" w14:textId="77777777" w:rsidR="004C67B7" w:rsidRPr="00620707" w:rsidRDefault="005B5528" w:rsidP="004C67B7">
            <w:pPr>
              <w:keepNext/>
              <w:keepLines/>
              <w:tabs>
                <w:tab w:val="left" w:pos="1248"/>
              </w:tabs>
              <w:rPr>
                <w:sz w:val="21"/>
                <w:szCs w:val="21"/>
              </w:rPr>
            </w:pPr>
            <w:r w:rsidRPr="00620707">
              <w:rPr>
                <w:sz w:val="21"/>
                <w:szCs w:val="21"/>
              </w:rPr>
              <w:t>Refer to the Goodwin Proxy Statement</w:t>
            </w:r>
            <w:r w:rsidRPr="00620707">
              <w:rPr>
                <w:sz w:val="21"/>
                <w:szCs w:val="21"/>
              </w:rPr>
              <w:t xml:space="preserve"> Form Check</w:t>
            </w:r>
          </w:p>
          <w:p w14:paraId="5D3DC7AE" w14:textId="77777777" w:rsidR="004C67B7" w:rsidRPr="0099173B" w:rsidRDefault="005B5528" w:rsidP="004C67B7">
            <w:pPr>
              <w:keepNext/>
              <w:keepLines/>
              <w:tabs>
                <w:tab w:val="left" w:pos="1248"/>
              </w:tabs>
              <w:rPr>
                <w:sz w:val="21"/>
                <w:szCs w:val="21"/>
                <w:highlight w:val="yellow"/>
              </w:rPr>
            </w:pPr>
            <w:r w:rsidRPr="00620707">
              <w:rPr>
                <w:sz w:val="21"/>
                <w:szCs w:val="21"/>
              </w:rPr>
              <w:t>Item 7, Directors and Executive Officers (Item 7(b))</w:t>
            </w:r>
          </w:p>
        </w:tc>
        <w:tc>
          <w:tcPr>
            <w:tcW w:w="925" w:type="pct"/>
            <w:shd w:val="clear" w:color="auto" w:fill="auto"/>
          </w:tcPr>
          <w:p w14:paraId="26224EFB" w14:textId="77777777" w:rsidR="004C67B7" w:rsidRPr="00780842"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0D3CB4D3"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1BA9F"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109159E7"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2E7407D2"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3C4B1E27" w14:textId="77777777" w:rsidR="004C67B7" w:rsidRDefault="005B5528" w:rsidP="004C67B7">
            <w:pPr>
              <w:rPr>
                <w:iCs/>
              </w:rPr>
            </w:pPr>
            <w:r>
              <w:rPr>
                <w:iCs/>
              </w:rPr>
              <w:lastRenderedPageBreak/>
              <w:t>[Audit Committee Financial Expert]</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8D09490" w14:textId="77777777" w:rsidR="004C67B7" w:rsidRPr="00DB5740" w:rsidRDefault="005B5528" w:rsidP="004C67B7">
            <w:pPr>
              <w:jc w:val="center"/>
            </w:pPr>
            <w:hyperlink r:id="rId185" w:anchor="p-229.407(d)(5)" w:history="1">
              <w:r w:rsidRPr="00620707">
                <w:rPr>
                  <w:rStyle w:val="Hyperlink"/>
                </w:rPr>
                <w:t>407(d)(5)</w:t>
              </w:r>
            </w:hyperlink>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64E01C58" w14:textId="77777777" w:rsidR="004C67B7" w:rsidRDefault="005B5528" w:rsidP="004C67B7">
            <w:pPr>
              <w:pStyle w:val="BodyText"/>
              <w:spacing w:after="120"/>
            </w:pPr>
            <w:r w:rsidRPr="00E47B30">
              <w:t xml:space="preserve">Item </w:t>
            </w:r>
            <w:hyperlink r:id="rId186" w:anchor="p-229.407(d)(5)" w:history="1">
              <w:r w:rsidRPr="00E47B30">
                <w:rPr>
                  <w:rStyle w:val="Hyperlink"/>
                </w:rPr>
                <w:t>407(</w:t>
              </w:r>
              <w:bookmarkStart w:id="103" w:name="_Hlt95996735"/>
              <w:bookmarkStart w:id="104" w:name="_Hlt95996736"/>
              <w:r w:rsidRPr="00E47B30">
                <w:rPr>
                  <w:rStyle w:val="Hyperlink"/>
                </w:rPr>
                <w:t>d</w:t>
              </w:r>
              <w:bookmarkEnd w:id="103"/>
              <w:bookmarkEnd w:id="104"/>
              <w:r w:rsidRPr="00E47B30">
                <w:rPr>
                  <w:rStyle w:val="Hyperlink"/>
                </w:rPr>
                <w:t>)(5)</w:t>
              </w:r>
            </w:hyperlink>
            <w:r>
              <w:t xml:space="preserve"> (Summary)</w:t>
            </w:r>
          </w:p>
          <w:p w14:paraId="04AC597A" w14:textId="77777777" w:rsidR="004C67B7" w:rsidRPr="00345658" w:rsidRDefault="005B5528" w:rsidP="004C67B7">
            <w:pPr>
              <w:keepNext/>
              <w:keepLines/>
              <w:tabs>
                <w:tab w:val="left" w:pos="1248"/>
              </w:tabs>
              <w:spacing w:after="120"/>
              <w:rPr>
                <w:b/>
                <w:bCs/>
              </w:rPr>
            </w:pPr>
            <w:r w:rsidRPr="00345658">
              <w:rPr>
                <w:b/>
                <w:bCs/>
              </w:rPr>
              <w:t>Required in Form 10-K</w:t>
            </w:r>
          </w:p>
          <w:p w14:paraId="62F15A4F" w14:textId="77777777" w:rsidR="004C67B7" w:rsidRPr="00636AC4" w:rsidRDefault="005B5528" w:rsidP="004C67B7">
            <w:pPr>
              <w:spacing w:after="120"/>
              <w:rPr>
                <w:rFonts w:cs="Times New Roman"/>
                <w:b/>
                <w:bCs/>
                <w:szCs w:val="20"/>
              </w:rPr>
            </w:pPr>
            <w:r w:rsidRPr="00636AC4">
              <w:rPr>
                <w:rFonts w:cs="Times New Roman"/>
                <w:b/>
                <w:bCs/>
                <w:szCs w:val="20"/>
              </w:rPr>
              <w:t xml:space="preserve">Required in the proxy statement if the Form 10-K has incorporated this disclosure by reference; </w:t>
            </w:r>
            <w:r>
              <w:rPr>
                <w:rFonts w:cs="Times New Roman"/>
                <w:b/>
                <w:bCs/>
                <w:szCs w:val="20"/>
              </w:rPr>
              <w:t>otherwise optional/</w:t>
            </w:r>
            <w:r w:rsidRPr="00636AC4">
              <w:rPr>
                <w:rFonts w:cs="Times New Roman"/>
                <w:b/>
                <w:bCs/>
                <w:szCs w:val="20"/>
              </w:rPr>
              <w:t>n</w:t>
            </w:r>
            <w:r w:rsidRPr="00636AC4">
              <w:rPr>
                <w:rFonts w:cs="Times New Roman"/>
                <w:b/>
                <w:bCs/>
                <w:szCs w:val="20"/>
              </w:rPr>
              <w:t>ot required in the proxy statement</w:t>
            </w:r>
          </w:p>
          <w:p w14:paraId="6022835B" w14:textId="77777777" w:rsidR="004C67B7" w:rsidRDefault="005B5528" w:rsidP="004C67B7">
            <w:pPr>
              <w:pStyle w:val="BodyText"/>
              <w:spacing w:after="120"/>
            </w:pPr>
            <w:r>
              <w:t>Schedule 14A does not require Item 407(d)(5) disclosure.  However, an instruction to Item 407(d)(5) permits a company to include this disclosure in its definitive proxy statement and incorporate this disclosure into the c</w:t>
            </w:r>
            <w:r>
              <w:t>ompany’s Form 10-K annual report.</w:t>
            </w:r>
          </w:p>
          <w:p w14:paraId="27162129" w14:textId="77777777" w:rsidR="004C67B7" w:rsidRDefault="005B5528" w:rsidP="004C67B7">
            <w:pPr>
              <w:pStyle w:val="BodyText"/>
              <w:numPr>
                <w:ilvl w:val="0"/>
                <w:numId w:val="36"/>
              </w:numPr>
              <w:spacing w:after="120"/>
            </w:pPr>
            <w:r>
              <w:t>Item 407(d)(5) requires the company to disclose</w:t>
            </w:r>
            <w:r w:rsidRPr="00E47B30">
              <w:t xml:space="preserve"> whether or not the board of directors has determined that it has at least one </w:t>
            </w:r>
            <w:r>
              <w:t>“</w:t>
            </w:r>
            <w:r w:rsidRPr="00E47B30">
              <w:t>audit committee financial expert</w:t>
            </w:r>
            <w:r>
              <w:t>”</w:t>
            </w:r>
            <w:r w:rsidRPr="00E47B30">
              <w:t xml:space="preserve"> </w:t>
            </w:r>
            <w:r>
              <w:t>serving on the audit committee.</w:t>
            </w:r>
          </w:p>
          <w:p w14:paraId="1702F957" w14:textId="77777777" w:rsidR="004C67B7" w:rsidRDefault="005B5528" w:rsidP="004C67B7">
            <w:pPr>
              <w:pStyle w:val="BodyText"/>
              <w:numPr>
                <w:ilvl w:val="0"/>
                <w:numId w:val="36"/>
              </w:numPr>
              <w:spacing w:after="120"/>
            </w:pPr>
            <w:r w:rsidRPr="00E47B30">
              <w:t>The name of the individual an</w:t>
            </w:r>
            <w:r w:rsidRPr="00E47B30">
              <w:t>d whether or not he or she is independent under applicable listing standards must be disclosed.</w:t>
            </w:r>
            <w:r>
              <w:t xml:space="preserve">  The company</w:t>
            </w:r>
            <w:r w:rsidRPr="00E47B30">
              <w:t xml:space="preserve"> may disclose this information for more than one audit committee member</w:t>
            </w:r>
            <w:r>
              <w:t>.</w:t>
            </w:r>
          </w:p>
          <w:p w14:paraId="6824311B" w14:textId="77777777" w:rsidR="004C67B7" w:rsidRDefault="005B5528" w:rsidP="004C67B7">
            <w:pPr>
              <w:pStyle w:val="BodyText"/>
              <w:numPr>
                <w:ilvl w:val="0"/>
                <w:numId w:val="36"/>
              </w:numPr>
              <w:spacing w:after="120"/>
            </w:pPr>
            <w:r>
              <w:t>If the company does not have an audit committee financial expert, the compa</w:t>
            </w:r>
            <w:r>
              <w:t>ny must disclose this fact and why the company has no audit committee financial expert</w:t>
            </w:r>
            <w:r w:rsidRPr="00E47B30">
              <w:t>.</w:t>
            </w:r>
          </w:p>
          <w:p w14:paraId="4F7CC2FB" w14:textId="77777777" w:rsidR="004C67B7" w:rsidRPr="00620707" w:rsidRDefault="005B5528" w:rsidP="004C67B7">
            <w:pPr>
              <w:keepNext/>
              <w:keepLines/>
              <w:tabs>
                <w:tab w:val="left" w:pos="1248"/>
              </w:tabs>
              <w:rPr>
                <w:sz w:val="21"/>
                <w:szCs w:val="21"/>
              </w:rPr>
            </w:pPr>
            <w:r w:rsidRPr="00620707">
              <w:rPr>
                <w:sz w:val="21"/>
                <w:szCs w:val="21"/>
              </w:rPr>
              <w:t>Refer to the Goodwin Proxy Statement Form Check</w:t>
            </w:r>
          </w:p>
          <w:p w14:paraId="0050FFCA" w14:textId="77777777" w:rsidR="004C67B7" w:rsidRPr="00620707" w:rsidRDefault="005B5528" w:rsidP="004C67B7">
            <w:pPr>
              <w:keepNext/>
              <w:keepLines/>
              <w:tabs>
                <w:tab w:val="left" w:pos="1248"/>
              </w:tabs>
              <w:spacing w:after="120"/>
              <w:rPr>
                <w:sz w:val="21"/>
                <w:szCs w:val="21"/>
              </w:rPr>
            </w:pPr>
            <w:r w:rsidRPr="00620707">
              <w:rPr>
                <w:sz w:val="21"/>
                <w:szCs w:val="21"/>
              </w:rPr>
              <w:t>Item 7, Directors and Executive Officers (Item 7(b))</w:t>
            </w:r>
          </w:p>
          <w:p w14:paraId="3E718B60" w14:textId="77777777" w:rsidR="004C67B7" w:rsidRDefault="005B5528" w:rsidP="004C67B7">
            <w:pPr>
              <w:keepNext/>
              <w:keepLines/>
              <w:tabs>
                <w:tab w:val="left" w:pos="1248"/>
              </w:tabs>
              <w:spacing w:after="120"/>
              <w:rPr>
                <w:sz w:val="21"/>
                <w:szCs w:val="21"/>
              </w:rPr>
            </w:pPr>
            <w:r>
              <w:rPr>
                <w:sz w:val="21"/>
                <w:szCs w:val="21"/>
              </w:rPr>
              <w:t>Note that Item 407(d)(5) does not require disclosure in proxy state</w:t>
            </w:r>
            <w:r>
              <w:rPr>
                <w:sz w:val="21"/>
                <w:szCs w:val="21"/>
              </w:rPr>
              <w:t xml:space="preserve">ments.  </w:t>
            </w:r>
            <w:r w:rsidRPr="00620707">
              <w:rPr>
                <w:sz w:val="21"/>
                <w:szCs w:val="21"/>
              </w:rPr>
              <w:t>However, an instruction to Item 407(d)(5) permits a company to include this disclosure in its definitive proxy statement and incorporate this disclosure into the company</w:t>
            </w:r>
            <w:r>
              <w:rPr>
                <w:sz w:val="21"/>
                <w:szCs w:val="21"/>
              </w:rPr>
              <w:t>’</w:t>
            </w:r>
            <w:r w:rsidRPr="00620707">
              <w:rPr>
                <w:sz w:val="21"/>
                <w:szCs w:val="21"/>
              </w:rPr>
              <w:t>s Form 10-K annual report.</w:t>
            </w:r>
          </w:p>
          <w:p w14:paraId="24FCB50D" w14:textId="77777777" w:rsidR="004C67B7" w:rsidRPr="00620707" w:rsidRDefault="005B5528" w:rsidP="004C67B7">
            <w:pPr>
              <w:keepNext/>
              <w:keepLines/>
              <w:tabs>
                <w:tab w:val="left" w:pos="1248"/>
              </w:tabs>
              <w:spacing w:after="120"/>
              <w:rPr>
                <w:sz w:val="21"/>
                <w:szCs w:val="21"/>
              </w:rPr>
            </w:pPr>
            <w:r w:rsidRPr="00A96276">
              <w:rPr>
                <w:i/>
                <w:iCs/>
                <w:sz w:val="21"/>
                <w:szCs w:val="21"/>
              </w:rPr>
              <w:t>If this disclosure is not included in the Form 10-K</w:t>
            </w:r>
            <w:r w:rsidRPr="00A96276">
              <w:rPr>
                <w:i/>
                <w:iCs/>
                <w:sz w:val="21"/>
                <w:szCs w:val="21"/>
              </w:rPr>
              <w:t xml:space="preserve"> report, confirm that this disclosure was included in the company’s definitive proxy statement </w:t>
            </w:r>
            <w:r>
              <w:rPr>
                <w:i/>
                <w:iCs/>
                <w:sz w:val="21"/>
                <w:szCs w:val="21"/>
              </w:rPr>
              <w:t>f</w:t>
            </w:r>
            <w:r w:rsidRPr="00A96276">
              <w:rPr>
                <w:i/>
                <w:iCs/>
                <w:sz w:val="21"/>
                <w:szCs w:val="21"/>
              </w:rPr>
              <w:t>or the prior year (if applicable) and will be included in the company’s definitive proxy statement for the current year</w:t>
            </w:r>
            <w:r>
              <w:rPr>
                <w:sz w:val="21"/>
                <w:szCs w:val="21"/>
              </w:rPr>
              <w:t>.</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0DBA670D" w14:textId="77777777" w:rsidR="004C67B7" w:rsidRDefault="005B5528" w:rsidP="004C67B7">
            <w:pPr>
              <w:pStyle w:val="BodyText"/>
            </w:pPr>
            <w:r>
              <w:t xml:space="preserve">The </w:t>
            </w:r>
            <w:hyperlink r:id="rId187" w:history="1">
              <w:r w:rsidRPr="007F07FB">
                <w:rPr>
                  <w:rStyle w:val="Hyperlink"/>
                </w:rPr>
                <w:t>adopting release</w:t>
              </w:r>
            </w:hyperlink>
            <w:r>
              <w:t xml:space="preserve"> states as follows in Section III, Paperwork Reduction Act::</w:t>
            </w:r>
          </w:p>
          <w:p w14:paraId="43102175" w14:textId="77777777" w:rsidR="004C67B7" w:rsidRDefault="005B5528" w:rsidP="004C67B7">
            <w:pPr>
              <w:pStyle w:val="BodyText"/>
            </w:pPr>
            <w:r>
              <w:t>A. Summary of Amendments</w:t>
            </w:r>
          </w:p>
          <w:p w14:paraId="5CE06722" w14:textId="77777777" w:rsidR="004C67B7" w:rsidRDefault="005B5528" w:rsidP="004C67B7">
            <w:pPr>
              <w:pStyle w:val="BodyText"/>
            </w:pPr>
            <w:r>
              <w:t>The amendments require two new types of disclosure that must be included in Form 10-K, Form 10-KSB, Form 20-F and Form 40-F</w:t>
            </w:r>
            <w:r w:rsidRPr="007F07FB">
              <w:rPr>
                <w:i/>
                <w:iCs/>
              </w:rPr>
              <w:t>. A d</w:t>
            </w:r>
            <w:r w:rsidRPr="007F07FB">
              <w:rPr>
                <w:i/>
                <w:iCs/>
              </w:rPr>
              <w:t>omestic company may, at its discretion, provide the new disclosures in its proxy or information statement on Schedule 14A or 14C and incorporate those disclosures by reference into its annual report.</w:t>
            </w:r>
            <w:r>
              <w:rPr>
                <w:i/>
                <w:iCs/>
              </w:rPr>
              <w:t xml:space="preserve">  </w:t>
            </w:r>
            <w:r>
              <w:t>(emphasis added)</w:t>
            </w:r>
          </w:p>
          <w:p w14:paraId="27E17731" w14:textId="77777777" w:rsidR="004C67B7" w:rsidRPr="00780842" w:rsidRDefault="005B5528" w:rsidP="004C67B7">
            <w:pPr>
              <w:spacing w:after="120"/>
            </w:pPr>
            <w:hyperlink r:id="rId188" w:history="1">
              <w:r w:rsidRPr="00345658">
                <w:rPr>
                  <w:rStyle w:val="Hyperlink"/>
                </w:rPr>
                <w:t>Disclosure Required by Sections 406 and 407 of the Sarbanes Oxley Act of 2002</w:t>
              </w:r>
            </w:hyperlink>
            <w:r>
              <w:t>, Release Nos. 33-8177; 34-47235 (January 23, 2003)</w:t>
            </w: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0FA6659A"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46D67"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42360BEB"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6668D184" w14:textId="77777777" w:rsidTr="00951920">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345CC7C6" w14:textId="77777777" w:rsidR="004C67B7" w:rsidRPr="00096441" w:rsidRDefault="005B5528" w:rsidP="004C67B7">
            <w:pPr>
              <w:rPr>
                <w:b/>
                <w:bCs/>
              </w:rPr>
            </w:pPr>
            <w:r w:rsidRPr="00096441">
              <w:rPr>
                <w:b/>
                <w:bCs/>
                <w:sz w:val="21"/>
                <w:szCs w:val="21"/>
              </w:rPr>
              <w:lastRenderedPageBreak/>
              <w:t>Item 11. Executive Compensation</w:t>
            </w:r>
          </w:p>
        </w:tc>
      </w:tr>
      <w:tr w:rsidR="00000000" w14:paraId="5C71671C"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5E3AA5F2" w14:textId="77777777" w:rsidR="004C67B7" w:rsidRDefault="005B5528" w:rsidP="004C67B7">
            <w:pPr>
              <w:rPr>
                <w:iCs/>
              </w:rPr>
            </w:pPr>
            <w:r w:rsidRPr="00096441">
              <w:rPr>
                <w:iCs/>
              </w:rPr>
              <w:t>Item 11. Executive Compensation.</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AFD0B76" w14:textId="77777777" w:rsidR="004C67B7" w:rsidRPr="00DB5740" w:rsidRDefault="005B5528" w:rsidP="004C67B7">
            <w:pPr>
              <w:jc w:val="center"/>
            </w:pPr>
            <w:r>
              <w:t>402</w:t>
            </w:r>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28AD597A" w14:textId="77777777" w:rsidR="004C67B7" w:rsidRDefault="005B5528" w:rsidP="004C67B7">
            <w:pPr>
              <w:keepNext/>
              <w:keepLines/>
              <w:rPr>
                <w:sz w:val="21"/>
                <w:szCs w:val="21"/>
              </w:rPr>
            </w:pPr>
            <w:r>
              <w:rPr>
                <w:sz w:val="21"/>
                <w:szCs w:val="21"/>
              </w:rPr>
              <w:t>Refer to:</w:t>
            </w:r>
          </w:p>
          <w:p w14:paraId="1D4E6C39" w14:textId="77777777" w:rsidR="004C67B7" w:rsidRDefault="004C67B7" w:rsidP="004C67B7">
            <w:pPr>
              <w:keepNext/>
              <w:keepLines/>
              <w:rPr>
                <w:sz w:val="21"/>
                <w:szCs w:val="21"/>
              </w:rPr>
            </w:pPr>
          </w:p>
          <w:p w14:paraId="649A8472" w14:textId="77777777" w:rsidR="004C67B7" w:rsidRDefault="005B5528" w:rsidP="004C67B7">
            <w:pPr>
              <w:keepNext/>
              <w:keepLines/>
              <w:rPr>
                <w:sz w:val="21"/>
                <w:szCs w:val="21"/>
              </w:rPr>
            </w:pPr>
            <w:r>
              <w:rPr>
                <w:sz w:val="21"/>
                <w:szCs w:val="21"/>
              </w:rPr>
              <w:t>Goodwin P</w:t>
            </w:r>
            <w:r>
              <w:rPr>
                <w:sz w:val="21"/>
                <w:szCs w:val="21"/>
              </w:rPr>
              <w:t>roxy Statement Form Check</w:t>
            </w:r>
          </w:p>
          <w:p w14:paraId="16D7FD08" w14:textId="77777777" w:rsidR="004C67B7" w:rsidRDefault="005B5528" w:rsidP="004C67B7">
            <w:pPr>
              <w:keepNext/>
              <w:keepLines/>
              <w:spacing w:after="120"/>
              <w:rPr>
                <w:sz w:val="21"/>
                <w:szCs w:val="21"/>
              </w:rPr>
            </w:pPr>
            <w:r>
              <w:rPr>
                <w:sz w:val="21"/>
                <w:szCs w:val="21"/>
              </w:rPr>
              <w:t>Item 8, Executive Compensation</w:t>
            </w:r>
          </w:p>
          <w:p w14:paraId="7712D9CB" w14:textId="77777777" w:rsidR="004C67B7" w:rsidRDefault="005B5528" w:rsidP="004C67B7">
            <w:pPr>
              <w:keepNext/>
              <w:keepLines/>
              <w:spacing w:after="120"/>
            </w:pPr>
            <w:r>
              <w:t xml:space="preserve">Goodwin </w:t>
            </w:r>
            <w:hyperlink r:id="rId189" w:history="1">
              <w:r>
                <w:rPr>
                  <w:rStyle w:val="Hyperlink"/>
                </w:rPr>
                <w:t>Executive Compensation Worksheet</w:t>
              </w:r>
            </w:hyperlink>
            <w:r>
              <w:t xml:space="preserve">, </w:t>
            </w:r>
          </w:p>
          <w:p w14:paraId="293A424D" w14:textId="77777777" w:rsidR="004C67B7" w:rsidRDefault="005B5528" w:rsidP="004C67B7">
            <w:pPr>
              <w:keepNext/>
              <w:keepLines/>
              <w:spacing w:after="120"/>
            </w:pPr>
            <w:r>
              <w:t xml:space="preserve">Goodwin </w:t>
            </w:r>
            <w:hyperlink r:id="rId190" w:history="1">
              <w:r w:rsidRPr="007D3BCA">
                <w:rPr>
                  <w:rStyle w:val="Hyperlink"/>
                </w:rPr>
                <w:t>Executive Compensation Worksheet for Smaller Reporting Companies and Emerging Growth Companies</w:t>
              </w:r>
            </w:hyperlink>
          </w:p>
          <w:p w14:paraId="3B0E39B2" w14:textId="77777777" w:rsidR="004C67B7" w:rsidRDefault="005B5528" w:rsidP="004C67B7">
            <w:pPr>
              <w:keepNext/>
              <w:keepLines/>
              <w:spacing w:after="120"/>
            </w:pPr>
            <w:r>
              <w:t xml:space="preserve">(all available on the Goodwin </w:t>
            </w:r>
            <w:hyperlink r:id="rId191" w:history="1">
              <w:r>
                <w:rPr>
                  <w:rStyle w:val="Hyperlink"/>
                </w:rPr>
                <w:t>Year-End Tool Kit</w:t>
              </w:r>
            </w:hyperlink>
            <w:r>
              <w:t xml:space="preserve"> website)</w:t>
            </w:r>
          </w:p>
          <w:p w14:paraId="2BC84492" w14:textId="77777777" w:rsidR="004C67B7" w:rsidRPr="00A44985" w:rsidRDefault="005B5528" w:rsidP="004C67B7">
            <w:pPr>
              <w:keepNext/>
              <w:keepLines/>
              <w:spacing w:after="120"/>
              <w:rPr>
                <w:b/>
                <w:bCs/>
              </w:rPr>
            </w:pPr>
            <w:r>
              <w:rPr>
                <w:b/>
                <w:bCs/>
              </w:rPr>
              <w:t>Note that the pay versus performance disclosure required by Item 402(v) is not required in a Form 10-K annual report.</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3CFB65E3" w14:textId="77777777" w:rsidR="004C67B7" w:rsidRPr="00780842"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13808EEF"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815A8"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596395A9"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6CCCBFB2"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058D7A89" w14:textId="77777777" w:rsidR="004C67B7" w:rsidRDefault="004C67B7" w:rsidP="004C67B7">
            <w:pPr>
              <w:rPr>
                <w:i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1FA299B0" w14:textId="77777777" w:rsidR="004C67B7" w:rsidRPr="00DB5740" w:rsidRDefault="005B5528" w:rsidP="004C67B7">
            <w:pPr>
              <w:jc w:val="center"/>
            </w:pPr>
            <w:r>
              <w:t>407(e)(4) and (e)(5)</w:t>
            </w:r>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3BEEA617" w14:textId="77777777" w:rsidR="004C67B7" w:rsidRDefault="005B5528" w:rsidP="004C67B7">
            <w:pPr>
              <w:keepNext/>
              <w:keepLines/>
              <w:rPr>
                <w:sz w:val="21"/>
                <w:szCs w:val="21"/>
              </w:rPr>
            </w:pPr>
            <w:r>
              <w:rPr>
                <w:sz w:val="21"/>
                <w:szCs w:val="21"/>
              </w:rPr>
              <w:t xml:space="preserve">Refer to Goodwin Proxy </w:t>
            </w:r>
            <w:r>
              <w:rPr>
                <w:sz w:val="21"/>
                <w:szCs w:val="21"/>
              </w:rPr>
              <w:t>Statement Form Check</w:t>
            </w:r>
          </w:p>
          <w:p w14:paraId="4D66A030" w14:textId="77777777" w:rsidR="004C67B7" w:rsidRDefault="005B5528" w:rsidP="004C67B7">
            <w:pPr>
              <w:keepNext/>
              <w:keepLines/>
              <w:spacing w:after="120"/>
              <w:rPr>
                <w:sz w:val="21"/>
                <w:szCs w:val="21"/>
              </w:rPr>
            </w:pPr>
            <w:r>
              <w:rPr>
                <w:sz w:val="21"/>
                <w:szCs w:val="21"/>
              </w:rPr>
              <w:t>Item 8, Executive Compensation</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751C377D" w14:textId="77777777" w:rsidR="004C67B7" w:rsidRPr="00780842"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56899F62"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45EDF"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3AA87CE9"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737722DF" w14:textId="77777777" w:rsidTr="00951920">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05E313B1" w14:textId="77777777" w:rsidR="004C67B7" w:rsidRPr="00096441" w:rsidRDefault="005B5528" w:rsidP="004C67B7">
            <w:pPr>
              <w:keepNext/>
              <w:keepLines/>
              <w:rPr>
                <w:b/>
                <w:bCs/>
              </w:rPr>
            </w:pPr>
            <w:r w:rsidRPr="00096441">
              <w:rPr>
                <w:b/>
                <w:bCs/>
                <w:sz w:val="21"/>
                <w:szCs w:val="21"/>
              </w:rPr>
              <w:t>Item 12. Security Ownership of Certain Beneficial Owners and Management and Related Stockholder Matters</w:t>
            </w:r>
          </w:p>
        </w:tc>
      </w:tr>
      <w:tr w:rsidR="00000000" w14:paraId="07FC9EE5" w14:textId="77777777" w:rsidTr="00096441">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3C81C058" w14:textId="77777777" w:rsidR="004C67B7" w:rsidRDefault="005B5528" w:rsidP="004C67B7">
            <w:pPr>
              <w:rPr>
                <w:iCs/>
              </w:rPr>
            </w:pPr>
            <w:r w:rsidRPr="00096441">
              <w:rPr>
                <w:iCs/>
              </w:rPr>
              <w:t xml:space="preserve">Item 12. Security Ownership of Certain Beneficial Owners and Management and Related </w:t>
            </w:r>
            <w:r w:rsidRPr="00096441">
              <w:rPr>
                <w:iCs/>
              </w:rPr>
              <w:t>Stockholder Matters.</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58BCC935" w14:textId="77777777" w:rsidR="004C67B7" w:rsidRPr="00DB5740" w:rsidRDefault="005B5528" w:rsidP="004C67B7">
            <w:pPr>
              <w:keepNext/>
              <w:keepLines/>
              <w:jc w:val="center"/>
            </w:pPr>
            <w:r>
              <w:t>201(d)</w:t>
            </w:r>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5D7FDCE7" w14:textId="77777777" w:rsidR="004C67B7" w:rsidRDefault="005B5528" w:rsidP="004C67B7">
            <w:pPr>
              <w:keepNext/>
              <w:keepLines/>
              <w:rPr>
                <w:sz w:val="21"/>
                <w:szCs w:val="21"/>
              </w:rPr>
            </w:pPr>
            <w:r>
              <w:rPr>
                <w:sz w:val="21"/>
                <w:szCs w:val="21"/>
              </w:rPr>
              <w:t>Refer to Goodwin Proxy Statement Form Check</w:t>
            </w:r>
          </w:p>
          <w:p w14:paraId="0D4A8447" w14:textId="77777777" w:rsidR="004C67B7" w:rsidRDefault="005B5528" w:rsidP="004C67B7">
            <w:pPr>
              <w:keepNext/>
              <w:keepLines/>
              <w:spacing w:after="120"/>
              <w:rPr>
                <w:sz w:val="21"/>
                <w:szCs w:val="21"/>
              </w:rPr>
            </w:pPr>
            <w:r>
              <w:rPr>
                <w:sz w:val="21"/>
                <w:szCs w:val="21"/>
              </w:rPr>
              <w:t>Item 6, Voting Securities and Principal Holders Thereof</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7EC16304" w14:textId="77777777" w:rsidR="004C67B7" w:rsidRPr="00780842"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5C009EBE"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6B678"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2E22CC19"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61478209" w14:textId="77777777" w:rsidTr="00096441">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0168796F" w14:textId="77777777" w:rsidR="004C67B7" w:rsidRPr="00096441" w:rsidRDefault="004C67B7" w:rsidP="004C67B7">
            <w:pPr>
              <w:rPr>
                <w:iCs/>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0073A51" w14:textId="77777777" w:rsidR="004C67B7" w:rsidRPr="00DB5740" w:rsidRDefault="005B5528" w:rsidP="004C67B7">
            <w:pPr>
              <w:keepNext/>
              <w:keepLines/>
              <w:jc w:val="center"/>
            </w:pPr>
            <w:r>
              <w:t>403</w:t>
            </w:r>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50550899" w14:textId="77777777" w:rsidR="004C67B7" w:rsidRDefault="005B5528" w:rsidP="004C67B7">
            <w:pPr>
              <w:keepNext/>
              <w:keepLines/>
              <w:rPr>
                <w:sz w:val="21"/>
                <w:szCs w:val="21"/>
              </w:rPr>
            </w:pPr>
            <w:r>
              <w:rPr>
                <w:sz w:val="21"/>
                <w:szCs w:val="21"/>
              </w:rPr>
              <w:t>Refer to Goodwin Proxy Statement Form Check</w:t>
            </w:r>
          </w:p>
          <w:p w14:paraId="6937AC62" w14:textId="77777777" w:rsidR="004C67B7" w:rsidRDefault="005B5528" w:rsidP="004C67B7">
            <w:pPr>
              <w:keepNext/>
              <w:keepLines/>
              <w:rPr>
                <w:sz w:val="21"/>
                <w:szCs w:val="21"/>
              </w:rPr>
            </w:pPr>
            <w:r>
              <w:rPr>
                <w:sz w:val="21"/>
                <w:szCs w:val="21"/>
              </w:rPr>
              <w:t>Item 6, Voting Securities and Principal Holders Thereof</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17DD292F" w14:textId="77777777" w:rsidR="004C67B7" w:rsidRPr="00780842"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1A81B409"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48D70"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67130F86"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3879D3D9" w14:textId="77777777" w:rsidTr="00951920">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0F5484DD" w14:textId="77777777" w:rsidR="004C67B7" w:rsidRPr="00096441" w:rsidRDefault="005B5528" w:rsidP="004C67B7">
            <w:pPr>
              <w:rPr>
                <w:b/>
                <w:bCs/>
              </w:rPr>
            </w:pPr>
            <w:r w:rsidRPr="00096441">
              <w:rPr>
                <w:b/>
                <w:bCs/>
                <w:sz w:val="21"/>
                <w:szCs w:val="21"/>
              </w:rPr>
              <w:t>Item 13. Certain Relationships and Related Transactions, and Director Independence</w:t>
            </w:r>
          </w:p>
        </w:tc>
      </w:tr>
      <w:tr w:rsidR="00000000" w14:paraId="500D41D5" w14:textId="77777777" w:rsidTr="00BF4090">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34C10333" w14:textId="77777777" w:rsidR="004C67B7" w:rsidRDefault="005B5528" w:rsidP="004C67B7">
            <w:pPr>
              <w:rPr>
                <w:iCs/>
              </w:rPr>
            </w:pPr>
            <w:r w:rsidRPr="00096441">
              <w:rPr>
                <w:iCs/>
              </w:rPr>
              <w:lastRenderedPageBreak/>
              <w:t>Item 13. Certain Relationships and Related Transactions, and Director Independence.</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6BA48D6C" w14:textId="77777777" w:rsidR="004C67B7" w:rsidRPr="00DB5740" w:rsidRDefault="005B5528" w:rsidP="004C67B7">
            <w:pPr>
              <w:jc w:val="center"/>
            </w:pPr>
            <w:r>
              <w:t>404</w:t>
            </w:r>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22D25688" w14:textId="77777777" w:rsidR="004C67B7" w:rsidRDefault="005B5528" w:rsidP="004C67B7">
            <w:pPr>
              <w:keepNext/>
              <w:keepLines/>
              <w:spacing w:after="120"/>
              <w:rPr>
                <w:sz w:val="21"/>
                <w:szCs w:val="21"/>
              </w:rPr>
            </w:pPr>
            <w:r w:rsidRPr="008519CD">
              <w:rPr>
                <w:sz w:val="21"/>
                <w:szCs w:val="21"/>
              </w:rPr>
              <w:t>Refer to the Goodwin Proxy Statement Form Check, Item 7(b)</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7A4E6144" w14:textId="77777777" w:rsidR="004C67B7" w:rsidRPr="00780842"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2BF660F2"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1E57A"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4BFD50B0"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2560CBE1" w14:textId="77777777" w:rsidTr="00E04057">
        <w:trPr>
          <w:cantSplit/>
          <w:jc w:val="center"/>
        </w:trPr>
        <w:tc>
          <w:tcPr>
            <w:tcW w:w="685" w:type="pct"/>
            <w:tcBorders>
              <w:top w:val="single" w:sz="4" w:space="0" w:color="auto"/>
              <w:left w:val="single" w:sz="4" w:space="0" w:color="auto"/>
              <w:bottom w:val="single" w:sz="24" w:space="0" w:color="auto"/>
              <w:right w:val="single" w:sz="4" w:space="0" w:color="auto"/>
            </w:tcBorders>
            <w:shd w:val="clear" w:color="auto" w:fill="auto"/>
          </w:tcPr>
          <w:p w14:paraId="27A376AD" w14:textId="77777777" w:rsidR="004C67B7" w:rsidRDefault="004C67B7" w:rsidP="004C67B7">
            <w:pPr>
              <w:rPr>
                <w:iCs/>
              </w:rPr>
            </w:pPr>
          </w:p>
        </w:tc>
        <w:tc>
          <w:tcPr>
            <w:tcW w:w="584" w:type="pct"/>
            <w:tcBorders>
              <w:top w:val="single" w:sz="4" w:space="0" w:color="auto"/>
              <w:left w:val="single" w:sz="4" w:space="0" w:color="auto"/>
              <w:bottom w:val="single" w:sz="24" w:space="0" w:color="auto"/>
              <w:right w:val="single" w:sz="4" w:space="0" w:color="auto"/>
            </w:tcBorders>
            <w:shd w:val="clear" w:color="auto" w:fill="auto"/>
          </w:tcPr>
          <w:p w14:paraId="450C8CB6" w14:textId="77777777" w:rsidR="004C67B7" w:rsidRPr="00DB5740" w:rsidRDefault="005B5528" w:rsidP="004C67B7">
            <w:pPr>
              <w:jc w:val="center"/>
            </w:pPr>
            <w:r>
              <w:t>40</w:t>
            </w:r>
            <w:r>
              <w:t>7(a)</w:t>
            </w:r>
          </w:p>
        </w:tc>
        <w:tc>
          <w:tcPr>
            <w:tcW w:w="1907" w:type="pct"/>
            <w:tcBorders>
              <w:top w:val="single" w:sz="4" w:space="0" w:color="auto"/>
              <w:left w:val="single" w:sz="4" w:space="0" w:color="auto"/>
              <w:bottom w:val="single" w:sz="24" w:space="0" w:color="auto"/>
              <w:right w:val="single" w:sz="4" w:space="0" w:color="auto"/>
            </w:tcBorders>
            <w:shd w:val="clear" w:color="auto" w:fill="auto"/>
          </w:tcPr>
          <w:p w14:paraId="0D7EEEFF" w14:textId="77777777" w:rsidR="004C67B7" w:rsidRDefault="005B5528" w:rsidP="004C67B7">
            <w:pPr>
              <w:keepNext/>
              <w:keepLines/>
              <w:spacing w:after="120"/>
              <w:rPr>
                <w:sz w:val="21"/>
                <w:szCs w:val="21"/>
              </w:rPr>
            </w:pPr>
            <w:r w:rsidRPr="008519CD">
              <w:rPr>
                <w:sz w:val="21"/>
                <w:szCs w:val="21"/>
              </w:rPr>
              <w:t>Refer to the Goodwin Proxy Statement Form Check, Item 7(b)</w:t>
            </w:r>
          </w:p>
        </w:tc>
        <w:tc>
          <w:tcPr>
            <w:tcW w:w="925" w:type="pct"/>
            <w:tcBorders>
              <w:top w:val="single" w:sz="4" w:space="0" w:color="auto"/>
              <w:left w:val="single" w:sz="4" w:space="0" w:color="auto"/>
              <w:bottom w:val="single" w:sz="24" w:space="0" w:color="auto"/>
              <w:right w:val="single" w:sz="4" w:space="0" w:color="auto"/>
            </w:tcBorders>
            <w:shd w:val="clear" w:color="auto" w:fill="auto"/>
          </w:tcPr>
          <w:p w14:paraId="59A36E0C" w14:textId="77777777" w:rsidR="004C67B7" w:rsidRPr="00780842" w:rsidRDefault="004C67B7" w:rsidP="004C67B7">
            <w:pPr>
              <w:spacing w:after="120"/>
            </w:pPr>
          </w:p>
        </w:tc>
        <w:tc>
          <w:tcPr>
            <w:tcW w:w="585" w:type="pct"/>
            <w:tcBorders>
              <w:top w:val="single" w:sz="4" w:space="0" w:color="auto"/>
              <w:left w:val="single" w:sz="4" w:space="0" w:color="auto"/>
              <w:bottom w:val="single" w:sz="24" w:space="0" w:color="auto"/>
              <w:right w:val="single" w:sz="4" w:space="0" w:color="auto"/>
            </w:tcBorders>
            <w:shd w:val="clear" w:color="auto" w:fill="auto"/>
          </w:tcPr>
          <w:p w14:paraId="6DC1B226"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24" w:space="0" w:color="auto"/>
              <w:right w:val="single" w:sz="4" w:space="0" w:color="auto"/>
            </w:tcBorders>
            <w:shd w:val="clear" w:color="auto" w:fill="auto"/>
            <w:vAlign w:val="center"/>
          </w:tcPr>
          <w:p w14:paraId="3ADC5C4F"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32CE09F5"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264FE803" w14:textId="77777777" w:rsidTr="00E04057">
        <w:trPr>
          <w:cantSplit/>
          <w:jc w:val="center"/>
        </w:trPr>
        <w:tc>
          <w:tcPr>
            <w:tcW w:w="5000" w:type="pct"/>
            <w:gridSpan w:val="7"/>
            <w:tcBorders>
              <w:top w:val="single" w:sz="24" w:space="0" w:color="auto"/>
              <w:left w:val="single" w:sz="4" w:space="0" w:color="auto"/>
              <w:bottom w:val="single" w:sz="4" w:space="0" w:color="auto"/>
              <w:right w:val="single" w:sz="4" w:space="0" w:color="auto"/>
            </w:tcBorders>
            <w:shd w:val="clear" w:color="auto" w:fill="D9D9D9"/>
          </w:tcPr>
          <w:p w14:paraId="0D7A4258" w14:textId="77777777" w:rsidR="004C67B7" w:rsidRPr="00DB5740" w:rsidRDefault="005B5528" w:rsidP="004C67B7">
            <w:r w:rsidRPr="00E04057">
              <w:rPr>
                <w:b/>
                <w:bCs/>
              </w:rPr>
              <w:t>Item 14.  Principal Accountant Fees and Services</w:t>
            </w:r>
            <w:r w:rsidRPr="00E04057">
              <w:t>.</w:t>
            </w:r>
          </w:p>
        </w:tc>
      </w:tr>
      <w:tr w:rsidR="00000000" w14:paraId="0A11A452" w14:textId="77777777" w:rsidTr="00E04057">
        <w:trPr>
          <w:cantSplit/>
          <w:jc w:val="center"/>
        </w:trPr>
        <w:tc>
          <w:tcPr>
            <w:tcW w:w="685" w:type="pct"/>
            <w:tcBorders>
              <w:top w:val="single" w:sz="4" w:space="0" w:color="auto"/>
              <w:left w:val="single" w:sz="4" w:space="0" w:color="auto"/>
              <w:bottom w:val="single" w:sz="4" w:space="0" w:color="auto"/>
              <w:right w:val="single" w:sz="4" w:space="0" w:color="auto"/>
            </w:tcBorders>
            <w:shd w:val="clear" w:color="auto" w:fill="auto"/>
          </w:tcPr>
          <w:p w14:paraId="62847DD9" w14:textId="77777777" w:rsidR="004C67B7" w:rsidRDefault="005B5528" w:rsidP="004C67B7">
            <w:pPr>
              <w:rPr>
                <w:iCs/>
              </w:rPr>
            </w:pPr>
            <w:r w:rsidRPr="00E04057">
              <w:rPr>
                <w:iCs/>
              </w:rPr>
              <w:t>Item 14.  Principal Accountant Fees and Services</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FDCE7F8" w14:textId="77777777" w:rsidR="004C67B7" w:rsidRPr="00DB5740" w:rsidRDefault="005B5528" w:rsidP="004C67B7">
            <w:hyperlink r:id="rId192" w:anchor="240.14a-101" w:history="1">
              <w:r w:rsidRPr="00E04057">
                <w:rPr>
                  <w:rStyle w:val="Hyperlink"/>
                </w:rPr>
                <w:t>Schedule 14A, Item 9(e)</w:t>
              </w:r>
            </w:hyperlink>
          </w:p>
        </w:tc>
        <w:tc>
          <w:tcPr>
            <w:tcW w:w="1907" w:type="pct"/>
            <w:tcBorders>
              <w:top w:val="single" w:sz="4" w:space="0" w:color="auto"/>
              <w:left w:val="single" w:sz="4" w:space="0" w:color="auto"/>
              <w:bottom w:val="single" w:sz="4" w:space="0" w:color="auto"/>
              <w:right w:val="single" w:sz="4" w:space="0" w:color="auto"/>
            </w:tcBorders>
            <w:shd w:val="clear" w:color="auto" w:fill="auto"/>
          </w:tcPr>
          <w:p w14:paraId="28BBCB6B" w14:textId="77777777" w:rsidR="004C67B7" w:rsidRDefault="005B5528" w:rsidP="004C67B7">
            <w:pPr>
              <w:keepNext/>
              <w:keepLines/>
              <w:spacing w:after="120"/>
              <w:rPr>
                <w:sz w:val="21"/>
                <w:szCs w:val="21"/>
              </w:rPr>
            </w:pPr>
            <w:r>
              <w:rPr>
                <w:sz w:val="21"/>
                <w:szCs w:val="21"/>
              </w:rPr>
              <w:t>Item 9(e) of Schedule 14A contains the disclosure requirements for Item 14 of Form 10-K.</w:t>
            </w:r>
          </w:p>
          <w:p w14:paraId="477795CC" w14:textId="77777777" w:rsidR="004C67B7" w:rsidRDefault="005B5528" w:rsidP="004C67B7">
            <w:pPr>
              <w:keepNext/>
              <w:keepLines/>
              <w:spacing w:after="120"/>
              <w:rPr>
                <w:sz w:val="21"/>
                <w:szCs w:val="21"/>
              </w:rPr>
            </w:pPr>
            <w:r>
              <w:rPr>
                <w:sz w:val="21"/>
                <w:szCs w:val="21"/>
              </w:rPr>
              <w:t xml:space="preserve">Refer to the Goodwin Proxy Statement Form Check, Item 9(e) </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51BA895A" w14:textId="77777777" w:rsidR="004C67B7" w:rsidRPr="00780842" w:rsidRDefault="004C67B7" w:rsidP="004C67B7">
            <w:pPr>
              <w:spacing w:after="120"/>
            </w:pP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7C341E27"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5C3E9"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1EE9CAB1"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7BF6B353" w14:textId="77777777" w:rsidTr="00E04057">
        <w:trPr>
          <w:cantSplit/>
          <w:jc w:val="center"/>
        </w:trPr>
        <w:tc>
          <w:tcPr>
            <w:tcW w:w="685" w:type="pct"/>
            <w:tcBorders>
              <w:top w:val="single" w:sz="4" w:space="0" w:color="auto"/>
              <w:left w:val="single" w:sz="4" w:space="0" w:color="auto"/>
              <w:bottom w:val="single" w:sz="24" w:space="0" w:color="auto"/>
              <w:right w:val="single" w:sz="4" w:space="0" w:color="auto"/>
            </w:tcBorders>
            <w:shd w:val="clear" w:color="auto" w:fill="auto"/>
          </w:tcPr>
          <w:p w14:paraId="61D9A438" w14:textId="77777777" w:rsidR="004C67B7" w:rsidRDefault="005B5528" w:rsidP="004C67B7">
            <w:pPr>
              <w:rPr>
                <w:iCs/>
              </w:rPr>
            </w:pPr>
            <w:r>
              <w:rPr>
                <w:iCs/>
              </w:rPr>
              <w:lastRenderedPageBreak/>
              <w:t>Item 14.  Principal Accountant Fees and Services</w:t>
            </w:r>
          </w:p>
          <w:p w14:paraId="757DEEA7" w14:textId="77777777" w:rsidR="004C67B7" w:rsidRDefault="004C67B7" w:rsidP="004C67B7">
            <w:pPr>
              <w:rPr>
                <w:iCs/>
              </w:rPr>
            </w:pPr>
          </w:p>
          <w:p w14:paraId="7B397599" w14:textId="77777777" w:rsidR="004C67B7" w:rsidRPr="00DB5740" w:rsidRDefault="005B5528" w:rsidP="004C67B7">
            <w:pPr>
              <w:rPr>
                <w:iCs/>
              </w:rPr>
            </w:pPr>
            <w:r>
              <w:rPr>
                <w:iCs/>
              </w:rPr>
              <w:t>[HF</w:t>
            </w:r>
            <w:r>
              <w:rPr>
                <w:iCs/>
              </w:rPr>
              <w:t>CAA Auditor Information Disclosure and Tagging]</w:t>
            </w:r>
          </w:p>
        </w:tc>
        <w:tc>
          <w:tcPr>
            <w:tcW w:w="584" w:type="pct"/>
            <w:tcBorders>
              <w:top w:val="single" w:sz="4" w:space="0" w:color="auto"/>
              <w:left w:val="single" w:sz="4" w:space="0" w:color="auto"/>
              <w:bottom w:val="single" w:sz="24" w:space="0" w:color="auto"/>
              <w:right w:val="single" w:sz="4" w:space="0" w:color="auto"/>
            </w:tcBorders>
            <w:shd w:val="clear" w:color="auto" w:fill="auto"/>
          </w:tcPr>
          <w:p w14:paraId="66617560" w14:textId="77777777" w:rsidR="004C67B7" w:rsidRPr="00DB5740" w:rsidRDefault="004C67B7" w:rsidP="004C67B7"/>
        </w:tc>
        <w:tc>
          <w:tcPr>
            <w:tcW w:w="1907" w:type="pct"/>
            <w:tcBorders>
              <w:top w:val="single" w:sz="4" w:space="0" w:color="auto"/>
              <w:left w:val="single" w:sz="4" w:space="0" w:color="auto"/>
              <w:bottom w:val="single" w:sz="24" w:space="0" w:color="auto"/>
              <w:right w:val="single" w:sz="4" w:space="0" w:color="auto"/>
            </w:tcBorders>
            <w:shd w:val="clear" w:color="auto" w:fill="auto"/>
          </w:tcPr>
          <w:p w14:paraId="43E0DB63" w14:textId="77777777" w:rsidR="004C67B7" w:rsidRPr="00F80073" w:rsidRDefault="005B5528" w:rsidP="004C67B7">
            <w:pPr>
              <w:keepNext/>
              <w:keepLines/>
              <w:spacing w:after="120"/>
              <w:rPr>
                <w:sz w:val="21"/>
                <w:szCs w:val="21"/>
              </w:rPr>
            </w:pPr>
            <w:r>
              <w:rPr>
                <w:sz w:val="21"/>
                <w:szCs w:val="21"/>
              </w:rPr>
              <w:t>Among other alternatives, c</w:t>
            </w:r>
            <w:r w:rsidRPr="00F80073">
              <w:rPr>
                <w:sz w:val="21"/>
                <w:szCs w:val="21"/>
              </w:rPr>
              <w:t>ompanies can comply with the auditor information disclosure requirements by revising Item 14, Principal Accountant Fees and Services, to add the first sentence in the example below</w:t>
            </w:r>
            <w:r w:rsidRPr="00F80073">
              <w:rPr>
                <w:sz w:val="21"/>
                <w:szCs w:val="21"/>
              </w:rPr>
              <w:t>, shown in bold underscored text.  The bracketed text should be replaced with the relevant information for the company</w:t>
            </w:r>
            <w:r>
              <w:rPr>
                <w:sz w:val="21"/>
                <w:szCs w:val="21"/>
              </w:rPr>
              <w:t>’</w:t>
            </w:r>
            <w:r w:rsidRPr="00F80073">
              <w:rPr>
                <w:sz w:val="21"/>
                <w:szCs w:val="21"/>
              </w:rPr>
              <w:t>s principal independent auditor, and should be tagged with the appropriate interactive XBRL tags.</w:t>
            </w:r>
          </w:p>
          <w:p w14:paraId="244D33F1" w14:textId="77777777" w:rsidR="004C67B7" w:rsidRPr="00F80073" w:rsidRDefault="005B5528" w:rsidP="004C67B7">
            <w:pPr>
              <w:keepNext/>
              <w:keepLines/>
              <w:spacing w:after="120"/>
              <w:rPr>
                <w:sz w:val="21"/>
                <w:szCs w:val="21"/>
              </w:rPr>
            </w:pPr>
            <w:r w:rsidRPr="00F80073">
              <w:rPr>
                <w:sz w:val="21"/>
                <w:szCs w:val="21"/>
              </w:rPr>
              <w:t>In the example below, the orange text i</w:t>
            </w:r>
            <w:r w:rsidRPr="00F80073">
              <w:rPr>
                <w:sz w:val="21"/>
                <w:szCs w:val="21"/>
              </w:rPr>
              <w:t>n the first sentence represents the interactive XBRL tag values that would be applied to the corresponding textual information for the company</w:t>
            </w:r>
            <w:r>
              <w:rPr>
                <w:sz w:val="21"/>
                <w:szCs w:val="21"/>
              </w:rPr>
              <w:t>’</w:t>
            </w:r>
            <w:r w:rsidRPr="00F80073">
              <w:rPr>
                <w:sz w:val="21"/>
                <w:szCs w:val="21"/>
              </w:rPr>
              <w:t>s auditor (</w:t>
            </w:r>
            <w:r w:rsidRPr="00F80073">
              <w:rPr>
                <w:i/>
                <w:iCs/>
                <w:sz w:val="21"/>
                <w:szCs w:val="21"/>
              </w:rPr>
              <w:t>i.e.,</w:t>
            </w:r>
            <w:r w:rsidRPr="00F80073">
              <w:rPr>
                <w:sz w:val="21"/>
                <w:szCs w:val="21"/>
              </w:rPr>
              <w:t xml:space="preserve"> the auditor</w:t>
            </w:r>
            <w:r>
              <w:rPr>
                <w:sz w:val="21"/>
                <w:szCs w:val="21"/>
              </w:rPr>
              <w:t>’</w:t>
            </w:r>
            <w:r w:rsidRPr="00F80073">
              <w:rPr>
                <w:sz w:val="21"/>
                <w:szCs w:val="21"/>
              </w:rPr>
              <w:t xml:space="preserve">s name, location and PCAOB auditor ID number).  </w:t>
            </w:r>
          </w:p>
          <w:p w14:paraId="40CE6943" w14:textId="77777777" w:rsidR="004C67B7" w:rsidRPr="00F80073" w:rsidRDefault="005B5528" w:rsidP="004C67B7">
            <w:pPr>
              <w:keepNext/>
              <w:keepLines/>
              <w:spacing w:after="120"/>
              <w:rPr>
                <w:sz w:val="21"/>
                <w:szCs w:val="21"/>
              </w:rPr>
            </w:pPr>
            <w:r w:rsidRPr="00F80073">
              <w:rPr>
                <w:sz w:val="21"/>
                <w:szCs w:val="21"/>
              </w:rPr>
              <w:t>The second sentence or equivalent d</w:t>
            </w:r>
            <w:r w:rsidRPr="00F80073">
              <w:rPr>
                <w:sz w:val="21"/>
                <w:szCs w:val="21"/>
              </w:rPr>
              <w:t xml:space="preserve">isclosure is standard disclosure for Item 14 when the company </w:t>
            </w:r>
            <w:r>
              <w:rPr>
                <w:sz w:val="21"/>
                <w:szCs w:val="21"/>
              </w:rPr>
              <w:t>“</w:t>
            </w:r>
            <w:r w:rsidRPr="00F80073">
              <w:rPr>
                <w:sz w:val="21"/>
                <w:szCs w:val="21"/>
              </w:rPr>
              <w:t>forward incorporates</w:t>
            </w:r>
            <w:r>
              <w:rPr>
                <w:sz w:val="21"/>
                <w:szCs w:val="21"/>
              </w:rPr>
              <w:t>”</w:t>
            </w:r>
            <w:r w:rsidRPr="00F80073">
              <w:rPr>
                <w:sz w:val="21"/>
                <w:szCs w:val="21"/>
              </w:rPr>
              <w:t xml:space="preserve"> the information required by Item 14 from the definitive proxy statement for its annual shareholder meeting.</w:t>
            </w:r>
          </w:p>
          <w:p w14:paraId="49A8F878" w14:textId="77777777" w:rsidR="004C67B7" w:rsidRPr="00F80073" w:rsidRDefault="005B5528" w:rsidP="004C67B7">
            <w:pPr>
              <w:keepNext/>
              <w:keepLines/>
              <w:spacing w:after="120"/>
              <w:ind w:left="720"/>
              <w:rPr>
                <w:sz w:val="21"/>
                <w:szCs w:val="21"/>
              </w:rPr>
            </w:pPr>
            <w:r w:rsidRPr="00F80073">
              <w:rPr>
                <w:b/>
                <w:bCs/>
                <w:sz w:val="21"/>
                <w:szCs w:val="21"/>
              </w:rPr>
              <w:t>Item 14. Principal Accountant Fees and Services</w:t>
            </w:r>
          </w:p>
          <w:p w14:paraId="7250F838" w14:textId="77777777" w:rsidR="004C67B7" w:rsidRPr="00F80073" w:rsidRDefault="005B5528" w:rsidP="004C67B7">
            <w:pPr>
              <w:spacing w:after="160" w:line="259" w:lineRule="auto"/>
              <w:ind w:left="720"/>
              <w:rPr>
                <w:rFonts w:eastAsia="Calibri"/>
                <w:b/>
                <w:bCs/>
                <w:sz w:val="21"/>
                <w:szCs w:val="21"/>
                <w:u w:val="single"/>
              </w:rPr>
            </w:pPr>
            <w:r w:rsidRPr="00F80073">
              <w:rPr>
                <w:rFonts w:eastAsia="Calibri"/>
                <w:b/>
                <w:bCs/>
                <w:sz w:val="21"/>
                <w:szCs w:val="21"/>
                <w:u w:val="single"/>
              </w:rPr>
              <w:t>Our independent</w:t>
            </w:r>
            <w:r w:rsidRPr="00F80073">
              <w:rPr>
                <w:rFonts w:eastAsia="Calibri"/>
                <w:b/>
                <w:bCs/>
                <w:sz w:val="21"/>
                <w:szCs w:val="21"/>
                <w:u w:val="single"/>
              </w:rPr>
              <w:t xml:space="preserve"> public accounting firm is </w:t>
            </w:r>
            <w:r w:rsidRPr="00F80073">
              <w:rPr>
                <w:rFonts w:eastAsia="Calibri"/>
                <w:b/>
                <w:bCs/>
                <w:color w:val="ED7D31"/>
                <w:sz w:val="21"/>
                <w:szCs w:val="21"/>
                <w:u w:val="single"/>
              </w:rPr>
              <w:t>[AuditorName]</w:t>
            </w:r>
            <w:r w:rsidRPr="00F80073">
              <w:rPr>
                <w:rFonts w:eastAsia="Calibri"/>
                <w:b/>
                <w:bCs/>
                <w:sz w:val="21"/>
                <w:szCs w:val="21"/>
                <w:u w:val="single"/>
              </w:rPr>
              <w:t xml:space="preserve">, </w:t>
            </w:r>
            <w:r w:rsidRPr="00F80073">
              <w:rPr>
                <w:rFonts w:eastAsia="Calibri"/>
                <w:b/>
                <w:bCs/>
                <w:color w:val="ED7D31"/>
                <w:sz w:val="21"/>
                <w:szCs w:val="21"/>
                <w:u w:val="single"/>
              </w:rPr>
              <w:t>[AuditorLocation]</w:t>
            </w:r>
            <w:r w:rsidRPr="00F80073">
              <w:rPr>
                <w:rFonts w:eastAsia="Calibri"/>
                <w:b/>
                <w:bCs/>
                <w:sz w:val="21"/>
                <w:szCs w:val="21"/>
                <w:u w:val="single"/>
              </w:rPr>
              <w:t xml:space="preserve">, PCAOB Auditor ID </w:t>
            </w:r>
            <w:r w:rsidRPr="00F80073">
              <w:rPr>
                <w:rFonts w:eastAsia="Calibri"/>
                <w:b/>
                <w:bCs/>
                <w:color w:val="ED7D31"/>
                <w:sz w:val="21"/>
                <w:szCs w:val="21"/>
                <w:u w:val="single"/>
              </w:rPr>
              <w:t>[AuditorFirmID]</w:t>
            </w:r>
            <w:r w:rsidRPr="00F80073">
              <w:rPr>
                <w:rFonts w:eastAsia="Calibri"/>
                <w:b/>
                <w:bCs/>
                <w:sz w:val="21"/>
                <w:szCs w:val="21"/>
                <w:u w:val="single"/>
              </w:rPr>
              <w:t>.</w:t>
            </w:r>
          </w:p>
          <w:p w14:paraId="274F7A60" w14:textId="77777777" w:rsidR="004C67B7" w:rsidRDefault="005B5528" w:rsidP="004C67B7">
            <w:pPr>
              <w:keepNext/>
              <w:keepLines/>
              <w:spacing w:after="120"/>
              <w:ind w:left="720"/>
              <w:rPr>
                <w:sz w:val="21"/>
                <w:szCs w:val="21"/>
              </w:rPr>
            </w:pPr>
            <w:r w:rsidRPr="00F80073">
              <w:rPr>
                <w:sz w:val="21"/>
                <w:szCs w:val="21"/>
              </w:rPr>
              <w:t xml:space="preserve">Information required by this Item 14 </w:t>
            </w:r>
            <w:r>
              <w:rPr>
                <w:sz w:val="21"/>
                <w:szCs w:val="21"/>
              </w:rPr>
              <w:t>will be</w:t>
            </w:r>
            <w:r w:rsidRPr="00F80073">
              <w:rPr>
                <w:sz w:val="21"/>
                <w:szCs w:val="21"/>
              </w:rPr>
              <w:t xml:space="preserve"> set forth in the </w:t>
            </w:r>
            <w:r>
              <w:rPr>
                <w:sz w:val="21"/>
                <w:szCs w:val="21"/>
              </w:rPr>
              <w:t>“</w:t>
            </w:r>
            <w:r w:rsidRPr="00F80073">
              <w:rPr>
                <w:sz w:val="21"/>
                <w:szCs w:val="21"/>
              </w:rPr>
              <w:t>[______________________]</w:t>
            </w:r>
            <w:r>
              <w:rPr>
                <w:sz w:val="21"/>
                <w:szCs w:val="21"/>
              </w:rPr>
              <w:t>”</w:t>
            </w:r>
            <w:r w:rsidRPr="00F80073">
              <w:rPr>
                <w:sz w:val="21"/>
                <w:szCs w:val="21"/>
              </w:rPr>
              <w:t xml:space="preserve"> [and the </w:t>
            </w:r>
            <w:r>
              <w:rPr>
                <w:sz w:val="21"/>
                <w:szCs w:val="21"/>
              </w:rPr>
              <w:t>“</w:t>
            </w:r>
            <w:r w:rsidRPr="00F80073">
              <w:rPr>
                <w:sz w:val="21"/>
                <w:szCs w:val="21"/>
              </w:rPr>
              <w:t>_______________</w:t>
            </w:r>
            <w:r>
              <w:rPr>
                <w:sz w:val="21"/>
                <w:szCs w:val="21"/>
              </w:rPr>
              <w:t>”</w:t>
            </w:r>
            <w:r w:rsidRPr="00F80073">
              <w:rPr>
                <w:sz w:val="21"/>
                <w:szCs w:val="21"/>
              </w:rPr>
              <w:t>] section[s] of the Company</w:t>
            </w:r>
            <w:r>
              <w:rPr>
                <w:sz w:val="21"/>
                <w:szCs w:val="21"/>
              </w:rPr>
              <w:t>’</w:t>
            </w:r>
            <w:r w:rsidRPr="00F80073">
              <w:rPr>
                <w:sz w:val="21"/>
                <w:szCs w:val="21"/>
              </w:rPr>
              <w:t>s definitive proxy</w:t>
            </w:r>
            <w:r w:rsidRPr="00F80073">
              <w:rPr>
                <w:sz w:val="21"/>
                <w:szCs w:val="21"/>
              </w:rPr>
              <w:t xml:space="preserve"> statement relating to [its annual meeting of shareholders] to be held on [_________________], which will be filed with the Securities and Exchange Commission within 120 days after the end of the year covered by this Annual Report on Form 10-K.</w:t>
            </w:r>
          </w:p>
          <w:p w14:paraId="2F167C6F" w14:textId="77777777" w:rsidR="004C67B7" w:rsidRPr="00F80073" w:rsidRDefault="005B5528" w:rsidP="004C67B7">
            <w:pPr>
              <w:keepNext/>
              <w:keepLines/>
              <w:spacing w:after="120"/>
              <w:rPr>
                <w:sz w:val="21"/>
                <w:szCs w:val="21"/>
              </w:rPr>
            </w:pPr>
            <w:r w:rsidRPr="00F80073">
              <w:rPr>
                <w:sz w:val="21"/>
                <w:szCs w:val="21"/>
              </w:rPr>
              <w:t>If the comp</w:t>
            </w:r>
            <w:r w:rsidRPr="00F80073">
              <w:rPr>
                <w:sz w:val="21"/>
                <w:szCs w:val="21"/>
              </w:rPr>
              <w:t>any is not incorporating this information from its definitive proxy statement, or if this example is being used in connection with a Form 10-K/A amendment to file the Form 10-K, Part III information because the company did not file its definitive proxy sta</w:t>
            </w:r>
            <w:r w:rsidRPr="00F80073">
              <w:rPr>
                <w:sz w:val="21"/>
                <w:szCs w:val="21"/>
              </w:rPr>
              <w:t>tement within 120 days after</w:t>
            </w:r>
            <w:r>
              <w:rPr>
                <w:sz w:val="21"/>
                <w:szCs w:val="21"/>
              </w:rPr>
              <w:t xml:space="preserve"> </w:t>
            </w:r>
            <w:r w:rsidRPr="00F80073">
              <w:rPr>
                <w:sz w:val="21"/>
                <w:szCs w:val="21"/>
              </w:rPr>
              <w:t>the end of its fisca</w:t>
            </w:r>
            <w:r>
              <w:rPr>
                <w:sz w:val="21"/>
                <w:szCs w:val="21"/>
              </w:rPr>
              <w:t>l</w:t>
            </w:r>
            <w:r w:rsidRPr="00F80073">
              <w:rPr>
                <w:sz w:val="21"/>
                <w:szCs w:val="21"/>
              </w:rPr>
              <w:t xml:space="preserve"> year, the company should replace the second sentence with the required disclosure.</w:t>
            </w:r>
          </w:p>
        </w:tc>
        <w:tc>
          <w:tcPr>
            <w:tcW w:w="925" w:type="pct"/>
            <w:tcBorders>
              <w:top w:val="single" w:sz="4" w:space="0" w:color="auto"/>
              <w:left w:val="single" w:sz="4" w:space="0" w:color="auto"/>
              <w:bottom w:val="single" w:sz="24" w:space="0" w:color="auto"/>
              <w:right w:val="single" w:sz="4" w:space="0" w:color="auto"/>
            </w:tcBorders>
            <w:shd w:val="clear" w:color="auto" w:fill="auto"/>
          </w:tcPr>
          <w:p w14:paraId="0CB073B6" w14:textId="77777777" w:rsidR="004C67B7" w:rsidRDefault="005B5528" w:rsidP="004C67B7">
            <w:pPr>
              <w:spacing w:after="120"/>
            </w:pPr>
            <w:r w:rsidRPr="00780842">
              <w:t xml:space="preserve">See Item 8, </w:t>
            </w:r>
            <w:r>
              <w:t>“</w:t>
            </w:r>
            <w:r w:rsidRPr="00780842">
              <w:t>Audit Report Interactive XBRL Taggin</w:t>
            </w:r>
            <w:r>
              <w:t xml:space="preserve">g” and </w:t>
            </w:r>
            <w:r w:rsidRPr="00780842">
              <w:rPr>
                <w:iCs/>
              </w:rPr>
              <w:t xml:space="preserve">Item 9C, </w:t>
            </w:r>
            <w:r>
              <w:rPr>
                <w:iCs/>
              </w:rPr>
              <w:t>“</w:t>
            </w:r>
            <w:r w:rsidRPr="00780842">
              <w:rPr>
                <w:iCs/>
              </w:rPr>
              <w:t xml:space="preserve">Disclosure Regarding Foreign Jurisdictions that Prevent </w:t>
            </w:r>
            <w:r w:rsidRPr="00780842">
              <w:rPr>
                <w:iCs/>
              </w:rPr>
              <w:t>Inspections</w:t>
            </w:r>
            <w:r>
              <w:rPr>
                <w:iCs/>
              </w:rPr>
              <w:t>”</w:t>
            </w:r>
            <w:r w:rsidRPr="00780842">
              <w:rPr>
                <w:iCs/>
              </w:rPr>
              <w:t xml:space="preserve"> </w:t>
            </w:r>
            <w:r w:rsidRPr="00780842">
              <w:t>for additional information.</w:t>
            </w:r>
          </w:p>
        </w:tc>
        <w:tc>
          <w:tcPr>
            <w:tcW w:w="585" w:type="pct"/>
            <w:tcBorders>
              <w:top w:val="single" w:sz="4" w:space="0" w:color="auto"/>
              <w:left w:val="single" w:sz="4" w:space="0" w:color="auto"/>
              <w:bottom w:val="single" w:sz="24" w:space="0" w:color="auto"/>
              <w:right w:val="single" w:sz="4" w:space="0" w:color="auto"/>
            </w:tcBorders>
            <w:shd w:val="clear" w:color="auto" w:fill="auto"/>
          </w:tcPr>
          <w:p w14:paraId="6853C83C" w14:textId="77777777" w:rsidR="004C67B7" w:rsidRPr="00DB5740" w:rsidRDefault="004C67B7" w:rsidP="004C67B7">
            <w:pPr>
              <w:rPr>
                <w:b/>
                <w:u w:val="single"/>
              </w:rPr>
            </w:pPr>
          </w:p>
        </w:tc>
        <w:tc>
          <w:tcPr>
            <w:tcW w:w="314" w:type="pct"/>
            <w:gridSpan w:val="2"/>
            <w:tcBorders>
              <w:top w:val="single" w:sz="4" w:space="0" w:color="auto"/>
              <w:left w:val="single" w:sz="4" w:space="0" w:color="auto"/>
              <w:bottom w:val="single" w:sz="24" w:space="0" w:color="auto"/>
              <w:right w:val="single" w:sz="4" w:space="0" w:color="auto"/>
            </w:tcBorders>
            <w:shd w:val="clear" w:color="auto" w:fill="auto"/>
            <w:vAlign w:val="center"/>
          </w:tcPr>
          <w:p w14:paraId="71358BB2"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2E3D2D11"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3AA9F439" w14:textId="77777777" w:rsidTr="006D5F83">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D9D9D9"/>
          </w:tcPr>
          <w:p w14:paraId="424A624D" w14:textId="77777777" w:rsidR="004C67B7" w:rsidRPr="00DB5740" w:rsidRDefault="005B5528" w:rsidP="004C67B7">
            <w:pPr>
              <w:keepNext/>
              <w:keepLines/>
              <w:spacing w:after="120"/>
              <w:rPr>
                <w:b/>
                <w:bCs/>
              </w:rPr>
            </w:pPr>
            <w:r w:rsidRPr="00DB5740">
              <w:rPr>
                <w:b/>
                <w:bCs/>
              </w:rPr>
              <w:lastRenderedPageBreak/>
              <w:t>NYSE/NASDAQ/NYSE American Disclosure</w:t>
            </w:r>
          </w:p>
        </w:tc>
      </w:tr>
      <w:tr w:rsidR="00000000" w14:paraId="30AA732F" w14:textId="77777777" w:rsidTr="006D5F83">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FFFFFF"/>
          </w:tcPr>
          <w:p w14:paraId="250AF6CA" w14:textId="77777777" w:rsidR="004C67B7" w:rsidRPr="00DB5740" w:rsidRDefault="005B5528" w:rsidP="004C67B7">
            <w:pPr>
              <w:spacing w:after="120"/>
              <w:rPr>
                <w:color w:val="000000"/>
              </w:rPr>
            </w:pPr>
            <w:r w:rsidRPr="00DB5740">
              <w:rPr>
                <w:color w:val="000000"/>
              </w:rPr>
              <w:t xml:space="preserve">Note – </w:t>
            </w:r>
            <w:r>
              <w:rPr>
                <w:color w:val="000000"/>
              </w:rPr>
              <w:t xml:space="preserve">the corporate governance rules of the </w:t>
            </w:r>
            <w:r w:rsidRPr="00DB5740">
              <w:rPr>
                <w:color w:val="000000"/>
              </w:rPr>
              <w:t xml:space="preserve">NYSE, </w:t>
            </w:r>
            <w:r>
              <w:rPr>
                <w:color w:val="000000"/>
              </w:rPr>
              <w:t>Nasdaq Stock Market</w:t>
            </w:r>
            <w:r w:rsidRPr="00DB5740">
              <w:rPr>
                <w:color w:val="000000"/>
              </w:rPr>
              <w:t xml:space="preserve"> and NYSE A</w:t>
            </w:r>
            <w:r>
              <w:rPr>
                <w:color w:val="000000"/>
              </w:rPr>
              <w:t>m</w:t>
            </w:r>
            <w:r w:rsidRPr="00DB5740">
              <w:rPr>
                <w:color w:val="000000"/>
              </w:rPr>
              <w:t>erican r</w:t>
            </w:r>
            <w:r>
              <w:rPr>
                <w:color w:val="000000"/>
              </w:rPr>
              <w:t>e</w:t>
            </w:r>
            <w:r w:rsidRPr="00DB5740">
              <w:rPr>
                <w:color w:val="000000"/>
              </w:rPr>
              <w:t>quire specified</w:t>
            </w:r>
            <w:r>
              <w:rPr>
                <w:color w:val="000000"/>
              </w:rPr>
              <w:t xml:space="preserve"> </w:t>
            </w:r>
            <w:r w:rsidRPr="00DB5740">
              <w:rPr>
                <w:color w:val="000000"/>
              </w:rPr>
              <w:t>disclosure concerning corporate governance matters in ce</w:t>
            </w:r>
            <w:r w:rsidRPr="00DB5740">
              <w:rPr>
                <w:color w:val="000000"/>
              </w:rPr>
              <w:t>rtain circumstances.  If the company does not file a proxy statement, these disclosures may be required in the company</w:t>
            </w:r>
            <w:r>
              <w:rPr>
                <w:color w:val="000000"/>
              </w:rPr>
              <w:t>’</w:t>
            </w:r>
            <w:r w:rsidRPr="00DB5740">
              <w:rPr>
                <w:color w:val="000000"/>
              </w:rPr>
              <w:t xml:space="preserve">s Form </w:t>
            </w:r>
            <w:r>
              <w:rPr>
                <w:color w:val="000000"/>
              </w:rPr>
              <w:t>10</w:t>
            </w:r>
            <w:r>
              <w:rPr>
                <w:color w:val="000000"/>
              </w:rPr>
              <w:noBreakHyphen/>
              <w:t>K</w:t>
            </w:r>
            <w:r w:rsidRPr="00DB5740">
              <w:rPr>
                <w:color w:val="000000"/>
              </w:rPr>
              <w:t xml:space="preserve"> annual report.</w:t>
            </w:r>
          </w:p>
        </w:tc>
      </w:tr>
      <w:tr w:rsidR="00000000" w14:paraId="3BCF8648" w14:textId="77777777" w:rsidTr="006D5F83">
        <w:trPr>
          <w:cantSplit/>
          <w:jc w:val="center"/>
        </w:trPr>
        <w:tc>
          <w:tcPr>
            <w:tcW w:w="5000" w:type="pct"/>
            <w:gridSpan w:val="7"/>
            <w:tcBorders>
              <w:top w:val="single" w:sz="24" w:space="0" w:color="auto"/>
              <w:left w:val="single" w:sz="4" w:space="0" w:color="auto"/>
              <w:bottom w:val="single" w:sz="24" w:space="0" w:color="auto"/>
              <w:right w:val="single" w:sz="24" w:space="0" w:color="auto"/>
            </w:tcBorders>
            <w:shd w:val="clear" w:color="auto" w:fill="D9D9D9"/>
          </w:tcPr>
          <w:p w14:paraId="161196B6" w14:textId="77777777" w:rsidR="004C67B7" w:rsidRPr="00DB5740" w:rsidRDefault="005B5528" w:rsidP="004C67B7">
            <w:pPr>
              <w:keepNext/>
              <w:keepLines/>
              <w:spacing w:after="120"/>
              <w:rPr>
                <w:b/>
                <w:bCs/>
              </w:rPr>
            </w:pPr>
            <w:r w:rsidRPr="00DB5740">
              <w:rPr>
                <w:b/>
                <w:bCs/>
              </w:rPr>
              <w:lastRenderedPageBreak/>
              <w:t>Part IV</w:t>
            </w:r>
          </w:p>
        </w:tc>
      </w:tr>
      <w:tr w:rsidR="00000000" w14:paraId="1755BDCA" w14:textId="77777777" w:rsidTr="006D5F83">
        <w:trPr>
          <w:cantSplit/>
          <w:jc w:val="center"/>
        </w:trPr>
        <w:tc>
          <w:tcPr>
            <w:tcW w:w="5000" w:type="pct"/>
            <w:gridSpan w:val="7"/>
            <w:tcBorders>
              <w:top w:val="single" w:sz="4" w:space="0" w:color="auto"/>
              <w:left w:val="single" w:sz="4" w:space="0" w:color="auto"/>
              <w:bottom w:val="single" w:sz="4" w:space="0" w:color="auto"/>
              <w:right w:val="single" w:sz="8" w:space="0" w:color="auto"/>
            </w:tcBorders>
            <w:shd w:val="clear" w:color="auto" w:fill="D9D9D9"/>
          </w:tcPr>
          <w:p w14:paraId="235F3A8B" w14:textId="77777777" w:rsidR="004C67B7" w:rsidRPr="00DB5740" w:rsidRDefault="005B5528" w:rsidP="004C67B7">
            <w:pPr>
              <w:keepNext/>
              <w:keepLines/>
              <w:spacing w:after="120"/>
              <w:rPr>
                <w:b/>
                <w:bCs/>
              </w:rPr>
            </w:pPr>
            <w:r w:rsidRPr="00DB5740">
              <w:rPr>
                <w:b/>
                <w:bCs/>
              </w:rPr>
              <w:t>Item 15.  Exhibits and Financial Statement Schedules</w:t>
            </w:r>
          </w:p>
        </w:tc>
      </w:tr>
      <w:tr w:rsidR="00000000" w14:paraId="02A923EC" w14:textId="77777777" w:rsidTr="00BF4090">
        <w:trPr>
          <w:cantSplit/>
          <w:jc w:val="center"/>
        </w:trPr>
        <w:tc>
          <w:tcPr>
            <w:tcW w:w="685" w:type="pct"/>
            <w:tcBorders>
              <w:top w:val="single" w:sz="4" w:space="0" w:color="auto"/>
              <w:left w:val="single" w:sz="4" w:space="0" w:color="auto"/>
              <w:bottom w:val="single" w:sz="4" w:space="0" w:color="auto"/>
              <w:right w:val="single" w:sz="8" w:space="0" w:color="auto"/>
            </w:tcBorders>
          </w:tcPr>
          <w:p w14:paraId="4F5EB94F" w14:textId="77777777" w:rsidR="004C67B7" w:rsidRPr="00DB5740" w:rsidRDefault="005B5528" w:rsidP="004C67B7">
            <w:pPr>
              <w:keepNext/>
              <w:keepLines/>
            </w:pPr>
            <w:r w:rsidRPr="00DB5740">
              <w:t>Item 15. Exhibits and Financial Statement Sche</w:t>
            </w:r>
            <w:r w:rsidRPr="00DB5740">
              <w:t>dules</w:t>
            </w:r>
          </w:p>
        </w:tc>
        <w:tc>
          <w:tcPr>
            <w:tcW w:w="584" w:type="pct"/>
            <w:tcBorders>
              <w:top w:val="single" w:sz="4" w:space="0" w:color="auto"/>
              <w:left w:val="single" w:sz="8" w:space="0" w:color="auto"/>
              <w:bottom w:val="single" w:sz="4" w:space="0" w:color="auto"/>
              <w:right w:val="single" w:sz="8" w:space="0" w:color="auto"/>
            </w:tcBorders>
          </w:tcPr>
          <w:p w14:paraId="7FF7FE1C" w14:textId="77777777" w:rsidR="004C67B7" w:rsidRPr="00DB5740" w:rsidRDefault="005B5528" w:rsidP="004C67B7">
            <w:pPr>
              <w:keepNext/>
              <w:keepLines/>
              <w:jc w:val="center"/>
              <w:rPr>
                <w:sz w:val="20"/>
              </w:rPr>
            </w:pPr>
            <w:hyperlink r:id="rId193" w:anchor="229.601" w:history="1">
              <w:r w:rsidRPr="00DB5740">
                <w:rPr>
                  <w:rStyle w:val="Hyperlink"/>
                </w:rPr>
                <w:t>6</w:t>
              </w:r>
              <w:bookmarkStart w:id="105" w:name="_Hlt94003622"/>
              <w:bookmarkStart w:id="106" w:name="_Hlt94003623"/>
              <w:bookmarkEnd w:id="105"/>
              <w:bookmarkEnd w:id="106"/>
              <w:r w:rsidRPr="00DB5740">
                <w:rPr>
                  <w:rStyle w:val="Hyperlink"/>
                </w:rPr>
                <w:t>01</w:t>
              </w:r>
            </w:hyperlink>
          </w:p>
        </w:tc>
        <w:tc>
          <w:tcPr>
            <w:tcW w:w="1907" w:type="pct"/>
            <w:tcBorders>
              <w:top w:val="single" w:sz="4" w:space="0" w:color="auto"/>
              <w:left w:val="single" w:sz="8" w:space="0" w:color="auto"/>
              <w:bottom w:val="single" w:sz="4" w:space="0" w:color="auto"/>
              <w:right w:val="single" w:sz="8" w:space="0" w:color="auto"/>
            </w:tcBorders>
          </w:tcPr>
          <w:p w14:paraId="67DC8662" w14:textId="77777777" w:rsidR="004C67B7" w:rsidRPr="00DB5740" w:rsidRDefault="005B5528" w:rsidP="004C67B7">
            <w:pPr>
              <w:keepNext/>
              <w:keepLines/>
              <w:spacing w:after="120"/>
            </w:pPr>
            <w:r w:rsidRPr="00DB5740">
              <w:t xml:space="preserve">File the documents required by Item 601(b) as exhibits to the Form </w:t>
            </w:r>
            <w:r>
              <w:t>10</w:t>
            </w:r>
            <w:r>
              <w:noBreakHyphen/>
              <w:t>K</w:t>
            </w:r>
            <w:r w:rsidRPr="00DB5740">
              <w:t xml:space="preserve"> report. </w:t>
            </w:r>
          </w:p>
          <w:p w14:paraId="121C5484" w14:textId="77777777" w:rsidR="004C67B7" w:rsidRDefault="005B5528" w:rsidP="004C67B7">
            <w:pPr>
              <w:keepNext/>
              <w:keepLines/>
              <w:spacing w:after="120"/>
            </w:pPr>
            <w:r>
              <w:t>Identify any materials contracts that were filed as exhibits to the Form 10-Q</w:t>
            </w:r>
            <w:r>
              <w:t xml:space="preserve"> reports for the first three fiscal quarters of the company’s fiscal year.</w:t>
            </w:r>
          </w:p>
          <w:p w14:paraId="63E3098B" w14:textId="77777777" w:rsidR="004C67B7" w:rsidRPr="00DB5740" w:rsidRDefault="005B5528" w:rsidP="004C67B7">
            <w:pPr>
              <w:keepNext/>
              <w:keepLines/>
              <w:spacing w:after="120"/>
            </w:pPr>
            <w:r w:rsidRPr="00DB5740">
              <w:t xml:space="preserve">Identify any material contracts entered into during the fourth quarter of the fiscal year covered by the Form </w:t>
            </w:r>
            <w:r>
              <w:t>10</w:t>
            </w:r>
            <w:r>
              <w:noBreakHyphen/>
              <w:t>K</w:t>
            </w:r>
            <w:r w:rsidRPr="00DB5740">
              <w:t xml:space="preserve"> report.</w:t>
            </w:r>
          </w:p>
          <w:p w14:paraId="17F1FF2D" w14:textId="77777777" w:rsidR="004C67B7" w:rsidRPr="00DB5740" w:rsidRDefault="005B5528" w:rsidP="004C67B7">
            <w:pPr>
              <w:keepNext/>
              <w:keepLines/>
              <w:spacing w:after="120"/>
            </w:pPr>
            <w:r w:rsidRPr="00DB5740">
              <w:t>Identify previously filed c</w:t>
            </w:r>
            <w:r>
              <w:t>o</w:t>
            </w:r>
            <w:r w:rsidRPr="00DB5740">
              <w:t>ntracts that are no longer req</w:t>
            </w:r>
            <w:r w:rsidRPr="00DB5740">
              <w:t>uired t</w:t>
            </w:r>
            <w:r>
              <w:t>o</w:t>
            </w:r>
            <w:r w:rsidRPr="00DB5740">
              <w:t xml:space="preserve"> be filed unde</w:t>
            </w:r>
            <w:r>
              <w:t>r</w:t>
            </w:r>
            <w:r w:rsidRPr="00DB5740">
              <w:t xml:space="preserve"> Item 601(b)(10) (for example, because they are not material and ei</w:t>
            </w:r>
            <w:r>
              <w:t>t</w:t>
            </w:r>
            <w:r w:rsidRPr="00DB5740">
              <w:t>her (1) will not be performed in whole or in part on or after the filing of the report or (2) were entered into not more than two years before the filing of the repo</w:t>
            </w:r>
            <w:r w:rsidRPr="00DB5740">
              <w:t>rt) in order to avoid possible questions relating to filing obligations under Form 8</w:t>
            </w:r>
            <w:r w:rsidRPr="00DB5740">
              <w:noBreakHyphen/>
              <w:t xml:space="preserve">K, Items 1.01 and 1.02 for contracts that are not (or never were) </w:t>
            </w:r>
            <w:r>
              <w:t>“</w:t>
            </w:r>
            <w:r w:rsidRPr="00DB5740">
              <w:t>material definitive agreements.</w:t>
            </w:r>
            <w:r>
              <w:t>”</w:t>
            </w:r>
            <w:r w:rsidRPr="00DB5740">
              <w:t xml:space="preserve"> </w:t>
            </w:r>
          </w:p>
          <w:p w14:paraId="39D7277B" w14:textId="77777777" w:rsidR="004C67B7" w:rsidRPr="00DB5740" w:rsidRDefault="005B5528" w:rsidP="004C67B7">
            <w:pPr>
              <w:keepNext/>
              <w:keepLines/>
              <w:spacing w:after="120"/>
            </w:pPr>
            <w:r w:rsidRPr="00DB5740">
              <w:t xml:space="preserve">Note that Item 601(b)(10)(i) requires that any material contract that </w:t>
            </w:r>
            <w:r w:rsidRPr="00DB5740">
              <w:t>was in effect within the past two years must be listed and filed as an exhibit</w:t>
            </w:r>
          </w:p>
        </w:tc>
        <w:tc>
          <w:tcPr>
            <w:tcW w:w="925" w:type="pct"/>
            <w:tcBorders>
              <w:top w:val="single" w:sz="4" w:space="0" w:color="auto"/>
              <w:left w:val="single" w:sz="8" w:space="0" w:color="auto"/>
              <w:bottom w:val="single" w:sz="4" w:space="0" w:color="auto"/>
              <w:right w:val="single" w:sz="8" w:space="0" w:color="auto"/>
            </w:tcBorders>
          </w:tcPr>
          <w:p w14:paraId="0E127420" w14:textId="77777777" w:rsidR="004C67B7" w:rsidRPr="00DB5740" w:rsidRDefault="004C67B7" w:rsidP="004C67B7">
            <w:pPr>
              <w:keepNext/>
              <w:keepLines/>
              <w:spacing w:after="120"/>
            </w:pPr>
          </w:p>
        </w:tc>
        <w:tc>
          <w:tcPr>
            <w:tcW w:w="585" w:type="pct"/>
            <w:tcBorders>
              <w:top w:val="single" w:sz="4" w:space="0" w:color="auto"/>
              <w:left w:val="single" w:sz="8" w:space="0" w:color="auto"/>
              <w:bottom w:val="single" w:sz="4" w:space="0" w:color="auto"/>
              <w:right w:val="single" w:sz="8" w:space="0" w:color="auto"/>
            </w:tcBorders>
          </w:tcPr>
          <w:p w14:paraId="74FDAC50" w14:textId="77777777" w:rsidR="004C67B7" w:rsidRPr="00DB5740" w:rsidRDefault="004C67B7" w:rsidP="004C67B7">
            <w:pPr>
              <w:keepNext/>
              <w:keepLines/>
            </w:pPr>
          </w:p>
        </w:tc>
        <w:tc>
          <w:tcPr>
            <w:tcW w:w="314" w:type="pct"/>
            <w:gridSpan w:val="2"/>
            <w:tcBorders>
              <w:top w:val="single" w:sz="4" w:space="0" w:color="auto"/>
              <w:left w:val="single" w:sz="8" w:space="0" w:color="auto"/>
              <w:bottom w:val="single" w:sz="4" w:space="0" w:color="auto"/>
              <w:right w:val="single" w:sz="8" w:space="0" w:color="auto"/>
            </w:tcBorders>
            <w:vAlign w:val="center"/>
          </w:tcPr>
          <w:p w14:paraId="42C87E36" w14:textId="77777777" w:rsidR="004C67B7" w:rsidRPr="00DB5740" w:rsidRDefault="005B5528" w:rsidP="004C67B7">
            <w:pPr>
              <w:keepNext/>
              <w:keepLines/>
              <w:jc w:val="center"/>
            </w:pPr>
            <w:r w:rsidRPr="00DB5740">
              <w:t xml:space="preserve">Yes </w:t>
            </w:r>
            <w:r w:rsidRPr="00DB5740">
              <w:rPr>
                <w:rFonts w:ascii="Segoe UI Symbol" w:eastAsia="MS Gothic" w:hAnsi="Segoe UI Symbol" w:cs="Segoe UI Symbol"/>
              </w:rPr>
              <w:t>☐</w:t>
            </w:r>
          </w:p>
          <w:p w14:paraId="209EAEEB" w14:textId="77777777" w:rsidR="004C67B7" w:rsidRPr="00DB5740" w:rsidRDefault="005B5528" w:rsidP="004C67B7">
            <w:pPr>
              <w:keepNext/>
              <w:keepLines/>
              <w:jc w:val="center"/>
            </w:pPr>
            <w:r w:rsidRPr="00DB5740">
              <w:t xml:space="preserve">No  </w:t>
            </w:r>
            <w:r w:rsidRPr="00DB5740">
              <w:rPr>
                <w:rFonts w:ascii="Segoe UI Symbol" w:eastAsia="MS Gothic" w:hAnsi="Segoe UI Symbol" w:cs="Segoe UI Symbol"/>
              </w:rPr>
              <w:t>☐</w:t>
            </w:r>
          </w:p>
        </w:tc>
      </w:tr>
      <w:tr w:rsidR="00000000" w14:paraId="3470C86E" w14:textId="77777777" w:rsidTr="003A3B7D">
        <w:trPr>
          <w:cantSplit/>
          <w:jc w:val="center"/>
        </w:trPr>
        <w:tc>
          <w:tcPr>
            <w:tcW w:w="685" w:type="pct"/>
            <w:tcBorders>
              <w:top w:val="single" w:sz="4" w:space="0" w:color="auto"/>
              <w:left w:val="single" w:sz="4" w:space="0" w:color="auto"/>
              <w:bottom w:val="single" w:sz="4" w:space="0" w:color="auto"/>
              <w:right w:val="single" w:sz="8" w:space="0" w:color="auto"/>
            </w:tcBorders>
            <w:shd w:val="clear" w:color="auto" w:fill="auto"/>
          </w:tcPr>
          <w:p w14:paraId="2DD3D134" w14:textId="77777777" w:rsidR="004C67B7" w:rsidRPr="00DB5740" w:rsidRDefault="004C67B7" w:rsidP="004C67B7"/>
        </w:tc>
        <w:tc>
          <w:tcPr>
            <w:tcW w:w="584" w:type="pct"/>
            <w:tcBorders>
              <w:top w:val="single" w:sz="4" w:space="0" w:color="auto"/>
              <w:left w:val="single" w:sz="8" w:space="0" w:color="auto"/>
              <w:bottom w:val="single" w:sz="4" w:space="0" w:color="auto"/>
              <w:right w:val="single" w:sz="8" w:space="0" w:color="auto"/>
            </w:tcBorders>
            <w:shd w:val="clear" w:color="auto" w:fill="auto"/>
          </w:tcPr>
          <w:p w14:paraId="320D81C6" w14:textId="77777777" w:rsidR="004C67B7" w:rsidRPr="00935863" w:rsidRDefault="004C67B7" w:rsidP="004C67B7">
            <w:pPr>
              <w:pStyle w:val="BodyText"/>
              <w:jc w:val="center"/>
              <w:rPr>
                <w:rStyle w:val="Hyperlink"/>
              </w:rPr>
            </w:pPr>
          </w:p>
        </w:tc>
        <w:tc>
          <w:tcPr>
            <w:tcW w:w="1907" w:type="pct"/>
            <w:shd w:val="clear" w:color="auto" w:fill="auto"/>
            <w:vAlign w:val="center"/>
          </w:tcPr>
          <w:p w14:paraId="4B385728" w14:textId="77777777" w:rsidR="004C67B7" w:rsidRDefault="005B5528" w:rsidP="004C67B7">
            <w:pPr>
              <w:keepNext/>
              <w:keepLines/>
              <w:spacing w:after="120"/>
            </w:pPr>
            <w:r>
              <w:rPr>
                <w:b/>
                <w:bCs/>
              </w:rPr>
              <w:t xml:space="preserve">Articles of Incorporation and Bylaws </w:t>
            </w:r>
          </w:p>
          <w:p w14:paraId="4B746549" w14:textId="77777777" w:rsidR="004C67B7" w:rsidRDefault="005B5528" w:rsidP="004C67B7">
            <w:pPr>
              <w:keepNext/>
              <w:keepLines/>
              <w:spacing w:after="120"/>
            </w:pPr>
            <w:r w:rsidRPr="00577EFC">
              <w:t>(3)(i) Articles of incorporation</w:t>
            </w:r>
          </w:p>
          <w:p w14:paraId="4B5E6D7F" w14:textId="77777777" w:rsidR="004C67B7" w:rsidRDefault="005B5528" w:rsidP="004C67B7">
            <w:pPr>
              <w:keepNext/>
              <w:keepLines/>
              <w:spacing w:after="120"/>
            </w:pPr>
            <w:r>
              <w:t>(</w:t>
            </w:r>
            <w:r w:rsidRPr="00577EFC">
              <w:t>3)(ii) Bylaws</w:t>
            </w:r>
          </w:p>
          <w:p w14:paraId="009B8206" w14:textId="77777777" w:rsidR="004C67B7" w:rsidRDefault="005B5528" w:rsidP="004C67B7">
            <w:pPr>
              <w:keepNext/>
              <w:keepLines/>
              <w:numPr>
                <w:ilvl w:val="0"/>
                <w:numId w:val="40"/>
              </w:numPr>
              <w:spacing w:after="120"/>
              <w:ind w:left="162" w:hanging="180"/>
            </w:pPr>
            <w:r>
              <w:rPr>
                <w:i/>
                <w:iCs/>
              </w:rPr>
              <w:t>If there have been no amendments since the most recently-filed complete ve</w:t>
            </w:r>
            <w:r>
              <w:rPr>
                <w:i/>
                <w:iCs/>
              </w:rPr>
              <w:t xml:space="preserve">rsion: </w:t>
            </w:r>
            <w:r>
              <w:t>list the most recently-filed complete current version and incorporate by reference to the relevant exhibit and report, with the required hyperlink.</w:t>
            </w:r>
            <w:r w:rsidRPr="009F0B69">
              <w:rPr>
                <w:sz w:val="18"/>
                <w:szCs w:val="18"/>
                <w:vertAlign w:val="superscript"/>
              </w:rPr>
              <w:t>1</w:t>
            </w:r>
          </w:p>
          <w:p w14:paraId="68D7CE55" w14:textId="77777777" w:rsidR="004C67B7" w:rsidRDefault="005B5528" w:rsidP="004C67B7">
            <w:pPr>
              <w:keepNext/>
              <w:keepLines/>
              <w:numPr>
                <w:ilvl w:val="0"/>
                <w:numId w:val="40"/>
              </w:numPr>
              <w:spacing w:after="120"/>
              <w:ind w:left="162" w:hanging="180"/>
            </w:pPr>
            <w:r>
              <w:rPr>
                <w:i/>
                <w:iCs/>
              </w:rPr>
              <w:t>If there has been an amendment and, as permitted by Form 8-K, only the amendment was filed as an exh</w:t>
            </w:r>
            <w:r>
              <w:rPr>
                <w:i/>
                <w:iCs/>
              </w:rPr>
              <w:t xml:space="preserve">ibit to the required Form 8-K report: </w:t>
            </w:r>
            <w:r>
              <w:t>list and file (1) a complete copy of the amended document and (2) the text of the amendments, either (a) by redlining the complete copy to show the changes or (b) by filing the text of the new amendments.  See Regulati</w:t>
            </w:r>
            <w:r>
              <w:t>on S-K C&amp;DI 246.01.</w:t>
            </w:r>
          </w:p>
          <w:p w14:paraId="3A138EE3" w14:textId="77777777" w:rsidR="004C67B7" w:rsidRDefault="005B5528" w:rsidP="004C67B7">
            <w:pPr>
              <w:keepNext/>
              <w:keepLines/>
              <w:numPr>
                <w:ilvl w:val="0"/>
                <w:numId w:val="40"/>
              </w:numPr>
              <w:spacing w:after="120"/>
              <w:ind w:left="162" w:hanging="180"/>
            </w:pPr>
            <w:r>
              <w:rPr>
                <w:i/>
                <w:iCs/>
              </w:rPr>
              <w:t xml:space="preserve">If there has been an amendment and a complete copy of the document </w:t>
            </w:r>
            <w:r>
              <w:rPr>
                <w:i/>
                <w:iCs/>
                <w:u w:val="single"/>
              </w:rPr>
              <w:t>and</w:t>
            </w:r>
            <w:r>
              <w:rPr>
                <w:i/>
                <w:iCs/>
              </w:rPr>
              <w:t xml:space="preserve"> the text of the amendments were filed as an exhibit to the required Form 8-K report: </w:t>
            </w:r>
            <w:r>
              <w:t>list the complete document and the text of the amendments as exhibits to the For</w:t>
            </w:r>
            <w:r>
              <w:t>m 10-K and incorporate by reference to the relevant exhibit to the Form 8-K report, with the required hyperlinks.</w:t>
            </w:r>
          </w:p>
          <w:p w14:paraId="1B5D7102" w14:textId="77777777" w:rsidR="004C67B7" w:rsidRPr="00EB7338" w:rsidRDefault="005B5528" w:rsidP="004C67B7">
            <w:pPr>
              <w:pStyle w:val="BodyText"/>
              <w:spacing w:after="120"/>
              <w:rPr>
                <w:b/>
                <w:sz w:val="20"/>
                <w:szCs w:val="20"/>
              </w:rPr>
            </w:pPr>
            <w:r w:rsidRPr="00EB7338">
              <w:rPr>
                <w:rStyle w:val="FootnoteReference"/>
                <w:sz w:val="20"/>
                <w:szCs w:val="20"/>
              </w:rPr>
              <w:footnoteRef/>
            </w:r>
            <w:r w:rsidRPr="00EB7338">
              <w:rPr>
                <w:sz w:val="20"/>
                <w:szCs w:val="20"/>
              </w:rPr>
              <w:t xml:space="preserve"> Instruction 2 to </w:t>
            </w:r>
            <w:r>
              <w:rPr>
                <w:sz w:val="20"/>
                <w:szCs w:val="20"/>
              </w:rPr>
              <w:t>the Exhibit Table in Item 601</w:t>
            </w:r>
            <w:r w:rsidRPr="00EB7338">
              <w:rPr>
                <w:sz w:val="20"/>
                <w:szCs w:val="20"/>
              </w:rPr>
              <w:t xml:space="preserve"> </w:t>
            </w:r>
            <w:r>
              <w:rPr>
                <w:sz w:val="20"/>
                <w:szCs w:val="20"/>
              </w:rPr>
              <w:t xml:space="preserve">of Regulation S-K </w:t>
            </w:r>
            <w:r w:rsidRPr="00EB7338">
              <w:rPr>
                <w:sz w:val="20"/>
                <w:szCs w:val="20"/>
              </w:rPr>
              <w:t xml:space="preserve">provides: </w:t>
            </w:r>
            <w:r>
              <w:rPr>
                <w:sz w:val="20"/>
                <w:szCs w:val="20"/>
              </w:rPr>
              <w:t>“</w:t>
            </w:r>
            <w:r w:rsidRPr="00EB7338">
              <w:rPr>
                <w:sz w:val="20"/>
                <w:szCs w:val="20"/>
              </w:rPr>
              <w:t xml:space="preserve">2. The </w:t>
            </w:r>
            <w:r>
              <w:rPr>
                <w:sz w:val="20"/>
                <w:szCs w:val="20"/>
              </w:rPr>
              <w:t>“</w:t>
            </w:r>
            <w:r w:rsidRPr="00EB7338">
              <w:rPr>
                <w:sz w:val="20"/>
                <w:szCs w:val="20"/>
              </w:rPr>
              <w:t>X</w:t>
            </w:r>
            <w:r>
              <w:rPr>
                <w:sz w:val="20"/>
                <w:szCs w:val="20"/>
              </w:rPr>
              <w:t>”</w:t>
            </w:r>
            <w:r w:rsidRPr="00EB7338">
              <w:rPr>
                <w:sz w:val="20"/>
                <w:szCs w:val="20"/>
              </w:rPr>
              <w:t xml:space="preserve"> designation indicates the documents which are require</w:t>
            </w:r>
            <w:r w:rsidRPr="00EB7338">
              <w:rPr>
                <w:sz w:val="20"/>
                <w:szCs w:val="20"/>
              </w:rPr>
              <w:t>d to be filed with each form even if filed previously with another document, provided, however, that such previously filed documents may be incorporated by reference to satisfy the filing requirements.</w:t>
            </w:r>
            <w:r>
              <w:rPr>
                <w:sz w:val="20"/>
                <w:szCs w:val="20"/>
              </w:rPr>
              <w:t>”</w:t>
            </w:r>
          </w:p>
        </w:tc>
        <w:tc>
          <w:tcPr>
            <w:tcW w:w="925" w:type="pct"/>
            <w:tcBorders>
              <w:top w:val="single" w:sz="4" w:space="0" w:color="auto"/>
              <w:left w:val="single" w:sz="8" w:space="0" w:color="auto"/>
              <w:right w:val="single" w:sz="8" w:space="0" w:color="auto"/>
            </w:tcBorders>
            <w:shd w:val="clear" w:color="auto" w:fill="auto"/>
          </w:tcPr>
          <w:p w14:paraId="6AC52BB2" w14:textId="77777777" w:rsidR="004C67B7" w:rsidRDefault="005B5528" w:rsidP="004C67B7">
            <w:pPr>
              <w:pStyle w:val="BodyText"/>
              <w:spacing w:after="120"/>
            </w:pPr>
            <w:r>
              <w:t>“Item 601(b)(3) requires that the entire amended text</w:t>
            </w:r>
            <w:r>
              <w:t xml:space="preserve"> of the articles or by-laws be filed, along with the text of the new amendments.  This could be accomplished by filing the entire amended text, redlined to show the new amendments.”  </w:t>
            </w:r>
          </w:p>
          <w:p w14:paraId="292A40EE" w14:textId="77777777" w:rsidR="004C67B7" w:rsidRPr="00DB5740" w:rsidRDefault="005B5528" w:rsidP="004C67B7">
            <w:pPr>
              <w:pStyle w:val="BodyText"/>
              <w:spacing w:after="120"/>
            </w:pPr>
            <w:r>
              <w:t>(Regulation S-K C&amp;DI 246.01)</w:t>
            </w:r>
          </w:p>
        </w:tc>
        <w:tc>
          <w:tcPr>
            <w:tcW w:w="585" w:type="pct"/>
            <w:tcBorders>
              <w:top w:val="single" w:sz="4" w:space="0" w:color="auto"/>
              <w:left w:val="single" w:sz="8" w:space="0" w:color="auto"/>
              <w:bottom w:val="single" w:sz="4" w:space="0" w:color="auto"/>
              <w:right w:val="single" w:sz="8" w:space="0" w:color="auto"/>
            </w:tcBorders>
            <w:shd w:val="clear" w:color="auto" w:fill="auto"/>
          </w:tcPr>
          <w:p w14:paraId="5509A847" w14:textId="77777777" w:rsidR="004C67B7" w:rsidRPr="00DB5740" w:rsidRDefault="004C67B7" w:rsidP="004C67B7"/>
        </w:tc>
        <w:tc>
          <w:tcPr>
            <w:tcW w:w="314" w:type="pct"/>
            <w:gridSpan w:val="2"/>
            <w:tcBorders>
              <w:top w:val="single" w:sz="4" w:space="0" w:color="auto"/>
              <w:left w:val="single" w:sz="8" w:space="0" w:color="auto"/>
              <w:bottom w:val="single" w:sz="4" w:space="0" w:color="auto"/>
              <w:right w:val="single" w:sz="8" w:space="0" w:color="auto"/>
            </w:tcBorders>
            <w:shd w:val="clear" w:color="auto" w:fill="auto"/>
            <w:vAlign w:val="center"/>
          </w:tcPr>
          <w:p w14:paraId="6E898003" w14:textId="77777777" w:rsidR="004C67B7" w:rsidRPr="00577EFC" w:rsidRDefault="005B5528" w:rsidP="004C67B7">
            <w:pPr>
              <w:keepNext/>
              <w:keepLines/>
              <w:jc w:val="center"/>
            </w:pPr>
            <w:r w:rsidRPr="00577EFC">
              <w:t xml:space="preserve">Yes </w:t>
            </w:r>
            <w:r w:rsidRPr="00577EFC">
              <w:rPr>
                <w:rFonts w:ascii="Segoe UI Symbol" w:eastAsia="MS Gothic" w:hAnsi="Segoe UI Symbol" w:cs="Segoe UI Symbol"/>
              </w:rPr>
              <w:t>☐</w:t>
            </w:r>
          </w:p>
          <w:p w14:paraId="2C00D339" w14:textId="77777777" w:rsidR="004C67B7" w:rsidRPr="00577EFC" w:rsidRDefault="005B5528" w:rsidP="004C67B7">
            <w:pPr>
              <w:keepNext/>
              <w:keepLines/>
              <w:jc w:val="center"/>
              <w:rPr>
                <w:rFonts w:ascii="Segoe UI Symbol" w:eastAsia="MS Gothic" w:hAnsi="Segoe UI Symbol" w:cs="Segoe UI Symbol"/>
              </w:rPr>
            </w:pPr>
            <w:r w:rsidRPr="00577EFC">
              <w:t xml:space="preserve">No  </w:t>
            </w:r>
            <w:r w:rsidRPr="00577EFC">
              <w:rPr>
                <w:rFonts w:ascii="Segoe UI Symbol" w:eastAsia="MS Gothic" w:hAnsi="Segoe UI Symbol" w:cs="Segoe UI Symbol"/>
              </w:rPr>
              <w:t>☐</w:t>
            </w:r>
          </w:p>
          <w:p w14:paraId="36B40D58" w14:textId="77777777" w:rsidR="004C67B7" w:rsidRPr="00DB5740" w:rsidRDefault="005B5528" w:rsidP="004C67B7">
            <w:pPr>
              <w:jc w:val="center"/>
            </w:pPr>
            <w:r w:rsidRPr="00577EFC">
              <w:t>N/A</w:t>
            </w:r>
            <w:r>
              <w:t xml:space="preserve"> </w:t>
            </w:r>
            <w:r w:rsidRPr="00577EFC">
              <w:rPr>
                <w:rFonts w:ascii="Segoe UI Symbol" w:eastAsia="MS Gothic" w:hAnsi="Segoe UI Symbol" w:cs="Segoe UI Symbol"/>
              </w:rPr>
              <w:t>☐</w:t>
            </w:r>
          </w:p>
        </w:tc>
      </w:tr>
      <w:tr w:rsidR="00000000" w14:paraId="35A38C0F" w14:textId="77777777" w:rsidTr="00BF4090">
        <w:trPr>
          <w:cantSplit/>
          <w:jc w:val="center"/>
        </w:trPr>
        <w:tc>
          <w:tcPr>
            <w:tcW w:w="685" w:type="pct"/>
            <w:tcBorders>
              <w:top w:val="single" w:sz="8" w:space="0" w:color="auto"/>
              <w:left w:val="single" w:sz="4" w:space="0" w:color="auto"/>
              <w:bottom w:val="single" w:sz="4" w:space="0" w:color="auto"/>
              <w:right w:val="single" w:sz="8" w:space="0" w:color="auto"/>
            </w:tcBorders>
          </w:tcPr>
          <w:p w14:paraId="65C5E72B" w14:textId="77777777" w:rsidR="004C67B7" w:rsidRPr="00DB5740" w:rsidRDefault="004C67B7" w:rsidP="004C67B7"/>
        </w:tc>
        <w:tc>
          <w:tcPr>
            <w:tcW w:w="584" w:type="pct"/>
            <w:tcBorders>
              <w:top w:val="single" w:sz="8" w:space="0" w:color="auto"/>
              <w:left w:val="single" w:sz="8" w:space="0" w:color="auto"/>
              <w:bottom w:val="single" w:sz="4" w:space="0" w:color="auto"/>
              <w:right w:val="single" w:sz="8" w:space="0" w:color="auto"/>
            </w:tcBorders>
          </w:tcPr>
          <w:p w14:paraId="74425A33" w14:textId="77777777" w:rsidR="004C67B7" w:rsidRPr="00935863" w:rsidRDefault="005B5528" w:rsidP="004C67B7">
            <w:pPr>
              <w:pStyle w:val="BodyText"/>
              <w:jc w:val="center"/>
              <w:rPr>
                <w:rStyle w:val="Hyperlink"/>
              </w:rPr>
            </w:pPr>
            <w:hyperlink r:id="rId194" w:anchor="229.601" w:history="1">
              <w:r w:rsidRPr="00DB5740">
                <w:rPr>
                  <w:rStyle w:val="Hyperlink"/>
                </w:rPr>
                <w:t>601(</w:t>
              </w:r>
              <w:bookmarkStart w:id="107" w:name="_Hlt94003773"/>
              <w:bookmarkStart w:id="108" w:name="_Hlt94003774"/>
              <w:bookmarkEnd w:id="107"/>
              <w:bookmarkEnd w:id="108"/>
              <w:r w:rsidRPr="00DB5740">
                <w:rPr>
                  <w:rStyle w:val="Hyperlink"/>
                </w:rPr>
                <w:t>b)(</w:t>
              </w:r>
              <w:r>
                <w:rPr>
                  <w:rStyle w:val="Hyperlink"/>
                </w:rPr>
                <w:t>4</w:t>
              </w:r>
              <w:r w:rsidRPr="00935863">
                <w:rPr>
                  <w:rStyle w:val="Hyperlink"/>
                </w:rPr>
                <w:t>)(vi)</w:t>
              </w:r>
            </w:hyperlink>
          </w:p>
          <w:p w14:paraId="308B40DA" w14:textId="77777777" w:rsidR="004C67B7" w:rsidRPr="00DB5740" w:rsidRDefault="004C67B7" w:rsidP="004C67B7">
            <w:pPr>
              <w:jc w:val="center"/>
            </w:pPr>
          </w:p>
        </w:tc>
        <w:tc>
          <w:tcPr>
            <w:tcW w:w="1907" w:type="pct"/>
            <w:tcBorders>
              <w:top w:val="single" w:sz="4" w:space="0" w:color="auto"/>
              <w:bottom w:val="single" w:sz="4" w:space="0" w:color="auto"/>
            </w:tcBorders>
          </w:tcPr>
          <w:p w14:paraId="6943BB71" w14:textId="77777777" w:rsidR="004C67B7" w:rsidRPr="00CB4226" w:rsidRDefault="005B5528" w:rsidP="004C67B7">
            <w:pPr>
              <w:pStyle w:val="BodyText"/>
              <w:spacing w:after="120"/>
            </w:pPr>
            <w:r w:rsidRPr="00CB4226">
              <w:rPr>
                <w:b/>
              </w:rPr>
              <w:t>Description of Securities</w:t>
            </w:r>
            <w:r w:rsidRPr="00CB4226">
              <w:t>.  Item 202 requires a company to describe briefly its registered equity and debt securities, warrants, rights, American depositary receipts, and othe</w:t>
            </w:r>
            <w:r w:rsidRPr="00CB4226">
              <w:t>r securities in registration statements filed under the Securities Act of 1933, but not in Form 10</w:t>
            </w:r>
            <w:r w:rsidRPr="00CB4226">
              <w:noBreakHyphen/>
              <w:t>K or Form 10-Q periodic reports.</w:t>
            </w:r>
          </w:p>
          <w:p w14:paraId="667ACC7E" w14:textId="77777777" w:rsidR="004C67B7" w:rsidRPr="00CB4226" w:rsidRDefault="005B5528" w:rsidP="004C67B7">
            <w:pPr>
              <w:pStyle w:val="BodyText"/>
              <w:spacing w:after="120"/>
            </w:pPr>
            <w:r w:rsidRPr="00CB4226">
              <w:t>Item 601(b)(4)</w:t>
            </w:r>
            <w:r>
              <w:t>(vi)</w:t>
            </w:r>
            <w:r w:rsidRPr="00CB4226">
              <w:t xml:space="preserve"> requires a company to provide the disclosure required by Item 202(a)-(d) and (f) for each class of securi</w:t>
            </w:r>
            <w:r w:rsidRPr="00CB4226">
              <w:t>ties that i</w:t>
            </w:r>
            <w:r>
              <w:t>s</w:t>
            </w:r>
            <w:r w:rsidRPr="00CB4226">
              <w:t xml:space="preserve"> regist</w:t>
            </w:r>
            <w:r>
              <w:t>e</w:t>
            </w:r>
            <w:r w:rsidRPr="00CB4226">
              <w:t>r</w:t>
            </w:r>
            <w:r>
              <w:t>e</w:t>
            </w:r>
            <w:r w:rsidRPr="00CB4226">
              <w:t>d under Section 12 of the Exchange Act as of the end of the period covered by the report as an exhibit to the company</w:t>
            </w:r>
            <w:r>
              <w:t>’</w:t>
            </w:r>
            <w:r w:rsidRPr="00CB4226">
              <w:t>s annual report on Form 10</w:t>
            </w:r>
            <w:r w:rsidRPr="00CB4226">
              <w:noBreakHyphen/>
              <w:t>K. Note that this is the same classes of securities that are identified on the cover page</w:t>
            </w:r>
            <w:r w:rsidRPr="00CB4226">
              <w:t xml:space="preserve"> of Form 10</w:t>
            </w:r>
            <w:r w:rsidRPr="00CB4226">
              <w:noBreakHyphen/>
              <w:t>K as regi</w:t>
            </w:r>
            <w:r>
              <w:t>s</w:t>
            </w:r>
            <w:r w:rsidRPr="00CB4226">
              <w:t>te</w:t>
            </w:r>
            <w:r>
              <w:t>r</w:t>
            </w:r>
            <w:r w:rsidRPr="00CB4226">
              <w:t>ed under Section 12(b)</w:t>
            </w:r>
            <w:r>
              <w:t xml:space="preserve"> and (g)</w:t>
            </w:r>
            <w:r w:rsidRPr="00CB4226">
              <w:t>.  In many cases, companies may be able to comply with the new exhibit requirement by extracting and adapting the disclosures previously filed in Securities Act or Exchange Act registration statements.</w:t>
            </w:r>
          </w:p>
          <w:p w14:paraId="1003F3F0" w14:textId="77777777" w:rsidR="004C67B7" w:rsidRPr="00CB4226" w:rsidRDefault="005B5528" w:rsidP="004C67B7">
            <w:pPr>
              <w:pStyle w:val="BodyText"/>
              <w:spacing w:after="120"/>
            </w:pPr>
            <w:r>
              <w:t>T</w:t>
            </w:r>
            <w:r w:rsidRPr="00CB4226">
              <w:t>o the extent that a company has previously filed an exhibit to a Form 10</w:t>
            </w:r>
            <w:r w:rsidRPr="00CB4226">
              <w:noBreakHyphen/>
              <w:t xml:space="preserve">K containing the Item 202 disclosure describing these securities, the company can incorporate that exhibit by reference and hyperlink to the previously filed exhibit in future Form </w:t>
            </w:r>
            <w:r w:rsidRPr="00CB4226">
              <w:t>10</w:t>
            </w:r>
            <w:r w:rsidRPr="00CB4226">
              <w:noBreakHyphen/>
              <w:t>K filings, as long as the company</w:t>
            </w:r>
            <w:r>
              <w:t>’</w:t>
            </w:r>
            <w:r w:rsidRPr="00CB4226">
              <w:t xml:space="preserve">s prior disclosure remains unchanged. </w:t>
            </w:r>
          </w:p>
          <w:p w14:paraId="02B202D3" w14:textId="77777777" w:rsidR="004C67B7" w:rsidRPr="00CB4226" w:rsidRDefault="005B5528" w:rsidP="004C67B7">
            <w:pPr>
              <w:spacing w:after="120"/>
            </w:pPr>
            <w:r w:rsidRPr="00CB4226">
              <w:t>Modifications and amendments during a fiscal year should be reflected in the Item 601(b)(4)</w:t>
            </w:r>
            <w:r>
              <w:t>(vi)</w:t>
            </w:r>
            <w:r w:rsidRPr="00CB4226">
              <w:t xml:space="preserve"> exhibit filed with the company</w:t>
            </w:r>
            <w:r>
              <w:t>’</w:t>
            </w:r>
            <w:r w:rsidRPr="00CB4226">
              <w:t>s Form 10</w:t>
            </w:r>
            <w:r w:rsidRPr="00CB4226">
              <w:noBreakHyphen/>
              <w:t>K annual report for that year.  There is no</w:t>
            </w:r>
            <w:r w:rsidRPr="00CB4226">
              <w:t xml:space="preserve"> interim updating requirement, and this exhibit is not required for Form 10-Q reports.</w:t>
            </w:r>
          </w:p>
        </w:tc>
        <w:tc>
          <w:tcPr>
            <w:tcW w:w="925" w:type="pct"/>
            <w:tcBorders>
              <w:top w:val="single" w:sz="8" w:space="0" w:color="auto"/>
              <w:left w:val="single" w:sz="8" w:space="0" w:color="auto"/>
              <w:bottom w:val="single" w:sz="4" w:space="0" w:color="auto"/>
              <w:right w:val="single" w:sz="8" w:space="0" w:color="auto"/>
            </w:tcBorders>
          </w:tcPr>
          <w:p w14:paraId="02231AD1" w14:textId="77777777" w:rsidR="004C67B7" w:rsidRPr="00DB5740" w:rsidRDefault="005B5528" w:rsidP="004C67B7">
            <w:pPr>
              <w:pStyle w:val="BodyText"/>
              <w:spacing w:after="120"/>
            </w:pPr>
            <w:hyperlink r:id="rId195" w:history="1">
              <w:r w:rsidRPr="00DB5740">
                <w:rPr>
                  <w:rStyle w:val="Hyperlink"/>
                </w:rPr>
                <w:t>SEC Release No</w:t>
              </w:r>
              <w:bookmarkStart w:id="109" w:name="_Hlt94003792"/>
              <w:bookmarkStart w:id="110" w:name="_Hlt94003793"/>
              <w:bookmarkEnd w:id="109"/>
              <w:bookmarkEnd w:id="110"/>
              <w:r w:rsidRPr="00DB5740">
                <w:rPr>
                  <w:rStyle w:val="Hyperlink"/>
                </w:rPr>
                <w:t>. 33-10618</w:t>
              </w:r>
            </w:hyperlink>
          </w:p>
          <w:p w14:paraId="17C88651" w14:textId="77777777" w:rsidR="004C67B7" w:rsidRPr="00DB5740" w:rsidRDefault="005B5528" w:rsidP="004C67B7">
            <w:pPr>
              <w:spacing w:after="120"/>
            </w:pPr>
            <w:hyperlink r:id="rId196" w:history="1">
              <w:r w:rsidRPr="00DB5740">
                <w:rPr>
                  <w:rStyle w:val="Hyperlink"/>
                </w:rPr>
                <w:t xml:space="preserve">Disclosure Simplification, Round </w:t>
              </w:r>
              <w:bookmarkStart w:id="111" w:name="_Hlt94003769"/>
              <w:bookmarkStart w:id="112" w:name="_Hlt94003770"/>
              <w:bookmarkEnd w:id="111"/>
              <w:bookmarkEnd w:id="112"/>
              <w:r w:rsidRPr="00DB5740">
                <w:rPr>
                  <w:rStyle w:val="Hyperlink"/>
                </w:rPr>
                <w:t>Two: A Deep Dive Into The SEC</w:t>
              </w:r>
              <w:r>
                <w:rPr>
                  <w:rStyle w:val="Hyperlink"/>
                </w:rPr>
                <w:t>’</w:t>
              </w:r>
              <w:r w:rsidRPr="00DB5740">
                <w:rPr>
                  <w:rStyle w:val="Hyperlink"/>
                </w:rPr>
                <w:t>s New Amendments</w:t>
              </w:r>
            </w:hyperlink>
          </w:p>
        </w:tc>
        <w:tc>
          <w:tcPr>
            <w:tcW w:w="585" w:type="pct"/>
            <w:tcBorders>
              <w:top w:val="single" w:sz="8" w:space="0" w:color="auto"/>
              <w:left w:val="single" w:sz="8" w:space="0" w:color="auto"/>
              <w:bottom w:val="single" w:sz="4" w:space="0" w:color="auto"/>
              <w:right w:val="single" w:sz="8" w:space="0" w:color="auto"/>
            </w:tcBorders>
          </w:tcPr>
          <w:p w14:paraId="02D5995B" w14:textId="77777777" w:rsidR="004C67B7" w:rsidRPr="00DB5740" w:rsidRDefault="004C67B7" w:rsidP="004C67B7"/>
        </w:tc>
        <w:tc>
          <w:tcPr>
            <w:tcW w:w="314" w:type="pct"/>
            <w:gridSpan w:val="2"/>
            <w:tcBorders>
              <w:top w:val="single" w:sz="8" w:space="0" w:color="auto"/>
              <w:left w:val="single" w:sz="8" w:space="0" w:color="auto"/>
              <w:bottom w:val="single" w:sz="4" w:space="0" w:color="auto"/>
              <w:right w:val="single" w:sz="8" w:space="0" w:color="auto"/>
            </w:tcBorders>
            <w:vAlign w:val="center"/>
          </w:tcPr>
          <w:p w14:paraId="5768F24C"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702424C5"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23299C25" w14:textId="77777777" w:rsidTr="003A3B7D">
        <w:trPr>
          <w:cantSplit/>
          <w:jc w:val="center"/>
        </w:trPr>
        <w:tc>
          <w:tcPr>
            <w:tcW w:w="685" w:type="pct"/>
            <w:tcBorders>
              <w:top w:val="single" w:sz="8" w:space="0" w:color="auto"/>
              <w:left w:val="single" w:sz="4" w:space="0" w:color="auto"/>
              <w:bottom w:val="single" w:sz="4" w:space="0" w:color="auto"/>
              <w:right w:val="single" w:sz="8" w:space="0" w:color="auto"/>
            </w:tcBorders>
          </w:tcPr>
          <w:p w14:paraId="5E40E3E7" w14:textId="77777777" w:rsidR="004C67B7" w:rsidRPr="00DB5740" w:rsidRDefault="004C67B7" w:rsidP="004C67B7"/>
        </w:tc>
        <w:tc>
          <w:tcPr>
            <w:tcW w:w="584" w:type="pct"/>
            <w:tcBorders>
              <w:top w:val="single" w:sz="8" w:space="0" w:color="auto"/>
              <w:left w:val="single" w:sz="8" w:space="0" w:color="auto"/>
              <w:bottom w:val="single" w:sz="4" w:space="0" w:color="auto"/>
              <w:right w:val="single" w:sz="8" w:space="0" w:color="auto"/>
            </w:tcBorders>
          </w:tcPr>
          <w:p w14:paraId="7A74078E" w14:textId="77777777" w:rsidR="004C67B7" w:rsidRPr="00935863" w:rsidRDefault="004C67B7" w:rsidP="004C67B7">
            <w:pPr>
              <w:pStyle w:val="BodyText"/>
              <w:jc w:val="center"/>
              <w:rPr>
                <w:rStyle w:val="Hyperlink"/>
              </w:rPr>
            </w:pPr>
          </w:p>
        </w:tc>
        <w:tc>
          <w:tcPr>
            <w:tcW w:w="1907" w:type="pct"/>
            <w:tcBorders>
              <w:top w:val="single" w:sz="4" w:space="0" w:color="auto"/>
              <w:bottom w:val="single" w:sz="4" w:space="0" w:color="auto"/>
            </w:tcBorders>
          </w:tcPr>
          <w:p w14:paraId="5052CF57" w14:textId="77777777" w:rsidR="004C67B7" w:rsidRDefault="005B5528" w:rsidP="004C67B7">
            <w:pPr>
              <w:spacing w:after="120"/>
            </w:pPr>
            <w:r>
              <w:rPr>
                <w:b/>
                <w:bCs/>
              </w:rPr>
              <w:t xml:space="preserve">Management Contracts or Compensatory Plans </w:t>
            </w:r>
          </w:p>
          <w:p w14:paraId="13E92715" w14:textId="77777777" w:rsidR="004C67B7" w:rsidRPr="00DB5740" w:rsidRDefault="005B5528" w:rsidP="004C67B7">
            <w:pPr>
              <w:spacing w:after="120"/>
            </w:pPr>
            <w:r w:rsidRPr="00DB5740">
              <w:t>Item 601(b)(10)(iii) requires filing of, among others:</w:t>
            </w:r>
          </w:p>
          <w:p w14:paraId="728D085F" w14:textId="77777777" w:rsidR="004C67B7" w:rsidRPr="00DB5740" w:rsidRDefault="005B5528" w:rsidP="004C67B7">
            <w:pPr>
              <w:pStyle w:val="BodyText"/>
              <w:numPr>
                <w:ilvl w:val="0"/>
                <w:numId w:val="13"/>
              </w:numPr>
              <w:spacing w:after="120"/>
              <w:ind w:left="421"/>
            </w:pPr>
            <w:r w:rsidRPr="00DB5740">
              <w:t>any management contract or comp</w:t>
            </w:r>
            <w:r w:rsidRPr="00DB5740">
              <w:t xml:space="preserve">ensatory plan or arrangement involving </w:t>
            </w:r>
            <w:r>
              <w:t>“</w:t>
            </w:r>
            <w:r w:rsidRPr="00DB5740">
              <w:t>named executive officers</w:t>
            </w:r>
            <w:r>
              <w:t>”</w:t>
            </w:r>
            <w:r w:rsidRPr="00DB5740">
              <w:t xml:space="preserve"> or directors, regardless of amount; </w:t>
            </w:r>
          </w:p>
          <w:p w14:paraId="27872A1C" w14:textId="77777777" w:rsidR="004C67B7" w:rsidRPr="00DB5740" w:rsidRDefault="005B5528" w:rsidP="004C67B7">
            <w:pPr>
              <w:pStyle w:val="BodyText"/>
              <w:numPr>
                <w:ilvl w:val="0"/>
                <w:numId w:val="13"/>
              </w:numPr>
              <w:spacing w:after="120"/>
              <w:ind w:left="421"/>
            </w:pPr>
            <w:r w:rsidRPr="00DB5740">
              <w:t>any compensatory plan or arrangement involving other executive officers, unless immaterial in amount or significance; and</w:t>
            </w:r>
          </w:p>
          <w:p w14:paraId="076748EB" w14:textId="77777777" w:rsidR="004C67B7" w:rsidRPr="00EB7338" w:rsidRDefault="005B5528" w:rsidP="004C67B7">
            <w:pPr>
              <w:pStyle w:val="BodyText"/>
              <w:numPr>
                <w:ilvl w:val="0"/>
                <w:numId w:val="13"/>
              </w:numPr>
              <w:spacing w:after="120"/>
              <w:ind w:left="421"/>
              <w:rPr>
                <w:b/>
                <w:bCs/>
              </w:rPr>
            </w:pPr>
            <w:r w:rsidRPr="00DB5740">
              <w:t>any compensation plans and arra</w:t>
            </w:r>
            <w:r w:rsidRPr="00DB5740">
              <w:t>ngements adopted without stockholder approval unless immaterial in amount/significance.</w:t>
            </w:r>
          </w:p>
          <w:p w14:paraId="2065238F" w14:textId="77777777" w:rsidR="004C67B7" w:rsidRPr="00EB7338" w:rsidRDefault="005B5528" w:rsidP="004C67B7">
            <w:pPr>
              <w:pStyle w:val="BodyText"/>
              <w:spacing w:after="120"/>
              <w:ind w:left="61"/>
            </w:pPr>
            <w:r>
              <w:t>These should be identified in the exhibit list with an asterisk (*) or other mark to indicate that the exhibit is a management contract or compensatory plan or arrangem</w:t>
            </w:r>
            <w:r>
              <w:t>ent.</w:t>
            </w:r>
          </w:p>
        </w:tc>
        <w:tc>
          <w:tcPr>
            <w:tcW w:w="925" w:type="pct"/>
            <w:tcBorders>
              <w:top w:val="single" w:sz="8" w:space="0" w:color="auto"/>
              <w:left w:val="single" w:sz="8" w:space="0" w:color="auto"/>
              <w:bottom w:val="single" w:sz="4" w:space="0" w:color="auto"/>
              <w:right w:val="single" w:sz="8" w:space="0" w:color="auto"/>
            </w:tcBorders>
          </w:tcPr>
          <w:p w14:paraId="6311E3AA" w14:textId="77777777" w:rsidR="004C67B7" w:rsidRPr="00DB5740" w:rsidRDefault="004C67B7" w:rsidP="004C67B7">
            <w:pPr>
              <w:pStyle w:val="BodyText"/>
              <w:spacing w:after="120"/>
            </w:pPr>
          </w:p>
        </w:tc>
        <w:tc>
          <w:tcPr>
            <w:tcW w:w="585" w:type="pct"/>
            <w:tcBorders>
              <w:top w:val="single" w:sz="8" w:space="0" w:color="auto"/>
              <w:left w:val="single" w:sz="8" w:space="0" w:color="auto"/>
              <w:bottom w:val="single" w:sz="4" w:space="0" w:color="auto"/>
              <w:right w:val="single" w:sz="8" w:space="0" w:color="auto"/>
            </w:tcBorders>
          </w:tcPr>
          <w:p w14:paraId="4057CBDF" w14:textId="77777777" w:rsidR="004C67B7" w:rsidRPr="00DB5740" w:rsidRDefault="004C67B7" w:rsidP="004C67B7"/>
        </w:tc>
        <w:tc>
          <w:tcPr>
            <w:tcW w:w="314" w:type="pct"/>
            <w:gridSpan w:val="2"/>
            <w:tcBorders>
              <w:top w:val="single" w:sz="8" w:space="0" w:color="auto"/>
              <w:left w:val="single" w:sz="8" w:space="0" w:color="auto"/>
              <w:bottom w:val="single" w:sz="4" w:space="0" w:color="auto"/>
              <w:right w:val="single" w:sz="8" w:space="0" w:color="auto"/>
            </w:tcBorders>
          </w:tcPr>
          <w:p w14:paraId="0334FF0F" w14:textId="77777777" w:rsidR="004C67B7" w:rsidRPr="00DB5740" w:rsidRDefault="004C67B7" w:rsidP="004C67B7">
            <w:pPr>
              <w:jc w:val="center"/>
            </w:pPr>
          </w:p>
        </w:tc>
      </w:tr>
      <w:tr w:rsidR="00000000" w14:paraId="1059E9BC" w14:textId="77777777" w:rsidTr="00BF4090">
        <w:trPr>
          <w:cantSplit/>
          <w:jc w:val="center"/>
        </w:trPr>
        <w:tc>
          <w:tcPr>
            <w:tcW w:w="685" w:type="pct"/>
            <w:tcBorders>
              <w:top w:val="single" w:sz="8" w:space="0" w:color="auto"/>
              <w:left w:val="single" w:sz="4" w:space="0" w:color="auto"/>
              <w:bottom w:val="single" w:sz="4" w:space="0" w:color="auto"/>
              <w:right w:val="single" w:sz="8" w:space="0" w:color="auto"/>
            </w:tcBorders>
          </w:tcPr>
          <w:p w14:paraId="0E580C0B" w14:textId="77777777" w:rsidR="004C67B7" w:rsidRPr="00DB5740" w:rsidRDefault="004C67B7" w:rsidP="004C67B7"/>
        </w:tc>
        <w:tc>
          <w:tcPr>
            <w:tcW w:w="584" w:type="pct"/>
            <w:tcBorders>
              <w:top w:val="single" w:sz="8" w:space="0" w:color="auto"/>
              <w:left w:val="single" w:sz="8" w:space="0" w:color="auto"/>
              <w:bottom w:val="single" w:sz="4" w:space="0" w:color="auto"/>
              <w:right w:val="single" w:sz="8" w:space="0" w:color="auto"/>
            </w:tcBorders>
          </w:tcPr>
          <w:p w14:paraId="62D2A8E2" w14:textId="77777777" w:rsidR="004C67B7" w:rsidRPr="00935863" w:rsidRDefault="005B5528" w:rsidP="004C67B7">
            <w:pPr>
              <w:pStyle w:val="BodyText"/>
              <w:jc w:val="center"/>
              <w:rPr>
                <w:rStyle w:val="Hyperlink"/>
              </w:rPr>
            </w:pPr>
            <w:hyperlink r:id="rId197" w:anchor="229.601" w:history="1">
              <w:r w:rsidRPr="00DB5740">
                <w:rPr>
                  <w:rStyle w:val="Hyperlink"/>
                </w:rPr>
                <w:t>601(b</w:t>
              </w:r>
              <w:bookmarkStart w:id="113" w:name="_Hlt94456245"/>
              <w:bookmarkStart w:id="114" w:name="_Hlt94456246"/>
              <w:r w:rsidRPr="00DB5740">
                <w:rPr>
                  <w:rStyle w:val="Hyperlink"/>
                </w:rPr>
                <w:t>)</w:t>
              </w:r>
              <w:bookmarkEnd w:id="113"/>
              <w:bookmarkEnd w:id="114"/>
              <w:r w:rsidRPr="00DB5740">
                <w:rPr>
                  <w:rStyle w:val="Hyperlink"/>
                </w:rPr>
                <w:t>(</w:t>
              </w:r>
              <w:r>
                <w:rPr>
                  <w:rStyle w:val="Hyperlink"/>
                </w:rPr>
                <w:t>14</w:t>
              </w:r>
              <w:r w:rsidRPr="00935863">
                <w:rPr>
                  <w:rStyle w:val="Hyperlink"/>
                </w:rPr>
                <w:t>)</w:t>
              </w:r>
            </w:hyperlink>
          </w:p>
          <w:p w14:paraId="46A5CA5B" w14:textId="77777777" w:rsidR="004C67B7" w:rsidRPr="00DB5740" w:rsidRDefault="004C67B7" w:rsidP="004C67B7">
            <w:pPr>
              <w:jc w:val="center"/>
            </w:pPr>
          </w:p>
        </w:tc>
        <w:tc>
          <w:tcPr>
            <w:tcW w:w="1907" w:type="pct"/>
          </w:tcPr>
          <w:p w14:paraId="6150E03F" w14:textId="77777777" w:rsidR="004C67B7" w:rsidRPr="00DB5740" w:rsidRDefault="005B5528" w:rsidP="004C67B7">
            <w:pPr>
              <w:pStyle w:val="BodyText"/>
              <w:spacing w:after="120"/>
              <w:rPr>
                <w:b/>
                <w:bCs/>
              </w:rPr>
            </w:pPr>
            <w:r w:rsidRPr="00DB5740">
              <w:rPr>
                <w:b/>
                <w:bCs/>
              </w:rPr>
              <w:t>Code of Ethics</w:t>
            </w:r>
          </w:p>
          <w:p w14:paraId="76B7ACE5" w14:textId="77777777" w:rsidR="004C67B7" w:rsidRPr="00DB5740" w:rsidRDefault="005B5528" w:rsidP="004C67B7">
            <w:pPr>
              <w:pStyle w:val="BodyText"/>
              <w:spacing w:after="120"/>
              <w:rPr>
                <w:b/>
              </w:rPr>
            </w:pPr>
            <w:r w:rsidRPr="00DB5740">
              <w:t xml:space="preserve">Confirm that the Form </w:t>
            </w:r>
            <w:r>
              <w:t>10</w:t>
            </w:r>
            <w:r>
              <w:noBreakHyphen/>
              <w:t>K</w:t>
            </w:r>
            <w:r w:rsidRPr="00DB5740">
              <w:t xml:space="preserve"> includes as an exhibit any code of ethics, or amendment thereto, that is the subject of the disclosure r</w:t>
            </w:r>
            <w:r w:rsidRPr="00DB5740">
              <w:t xml:space="preserve">equired by </w:t>
            </w:r>
            <w:hyperlink r:id="rId198" w:history="1">
              <w:r w:rsidRPr="00C52BBE">
                <w:rPr>
                  <w:rStyle w:val="Hyperlink"/>
                </w:rPr>
                <w:t>Item 406</w:t>
              </w:r>
            </w:hyperlink>
            <w:r w:rsidRPr="00DB5740">
              <w:t xml:space="preserve"> of Regulation S-K or Item 5.05 of Form 8</w:t>
            </w:r>
            <w:r w:rsidRPr="00DB5740">
              <w:noBreakHyphen/>
              <w:t>K, to the extent that the company intends to satisfy the Item 406 or Item 5.05 requireme</w:t>
            </w:r>
            <w:r w:rsidRPr="00DB5740">
              <w:t xml:space="preserve">nts by filing of the code of ethics as an exhibit to the Form </w:t>
            </w:r>
            <w:r>
              <w:t>10</w:t>
            </w:r>
            <w:r>
              <w:noBreakHyphen/>
              <w:t>K</w:t>
            </w:r>
            <w:r w:rsidRPr="00DB5740">
              <w:t>.</w:t>
            </w:r>
            <w:r>
              <w:t xml:space="preserve">  Most companies satisfy this requirement by posting their code of ethics on their websites.</w:t>
            </w:r>
          </w:p>
        </w:tc>
        <w:tc>
          <w:tcPr>
            <w:tcW w:w="925" w:type="pct"/>
          </w:tcPr>
          <w:p w14:paraId="7F70CF7D" w14:textId="77777777" w:rsidR="004C67B7" w:rsidRPr="00DB5740" w:rsidRDefault="004C67B7" w:rsidP="004C67B7">
            <w:pPr>
              <w:pStyle w:val="BodyText"/>
              <w:spacing w:after="120"/>
            </w:pPr>
          </w:p>
        </w:tc>
        <w:tc>
          <w:tcPr>
            <w:tcW w:w="585" w:type="pct"/>
            <w:tcBorders>
              <w:top w:val="single" w:sz="8" w:space="0" w:color="auto"/>
              <w:left w:val="single" w:sz="8" w:space="0" w:color="auto"/>
              <w:bottom w:val="single" w:sz="4" w:space="0" w:color="auto"/>
              <w:right w:val="single" w:sz="8" w:space="0" w:color="auto"/>
            </w:tcBorders>
          </w:tcPr>
          <w:p w14:paraId="25D4E9D2" w14:textId="77777777" w:rsidR="004C67B7" w:rsidRPr="00DB5740" w:rsidRDefault="004C67B7" w:rsidP="004C67B7"/>
        </w:tc>
        <w:tc>
          <w:tcPr>
            <w:tcW w:w="314" w:type="pct"/>
            <w:gridSpan w:val="2"/>
            <w:tcBorders>
              <w:top w:val="single" w:sz="8" w:space="0" w:color="auto"/>
              <w:left w:val="single" w:sz="8" w:space="0" w:color="auto"/>
              <w:bottom w:val="single" w:sz="4" w:space="0" w:color="auto"/>
              <w:right w:val="single" w:sz="8" w:space="0" w:color="auto"/>
            </w:tcBorders>
            <w:vAlign w:val="center"/>
          </w:tcPr>
          <w:p w14:paraId="741AD70E"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44B93603"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75E3E0D6" w14:textId="77777777" w:rsidTr="00BF4090">
        <w:trPr>
          <w:cantSplit/>
          <w:jc w:val="center"/>
        </w:trPr>
        <w:tc>
          <w:tcPr>
            <w:tcW w:w="685" w:type="pct"/>
            <w:tcBorders>
              <w:top w:val="single" w:sz="8" w:space="0" w:color="auto"/>
              <w:left w:val="single" w:sz="4" w:space="0" w:color="auto"/>
              <w:bottom w:val="single" w:sz="4" w:space="0" w:color="auto"/>
              <w:right w:val="single" w:sz="8" w:space="0" w:color="auto"/>
            </w:tcBorders>
          </w:tcPr>
          <w:p w14:paraId="64688033" w14:textId="77777777" w:rsidR="004C67B7" w:rsidRPr="00DB5740" w:rsidRDefault="004C67B7" w:rsidP="004C67B7"/>
        </w:tc>
        <w:tc>
          <w:tcPr>
            <w:tcW w:w="584" w:type="pct"/>
            <w:tcBorders>
              <w:top w:val="single" w:sz="8" w:space="0" w:color="auto"/>
              <w:left w:val="single" w:sz="8" w:space="0" w:color="auto"/>
              <w:bottom w:val="single" w:sz="4" w:space="0" w:color="auto"/>
              <w:right w:val="single" w:sz="8" w:space="0" w:color="auto"/>
            </w:tcBorders>
          </w:tcPr>
          <w:p w14:paraId="180B197E" w14:textId="77777777" w:rsidR="004C67B7" w:rsidRPr="00DB5740" w:rsidRDefault="004C67B7" w:rsidP="004C67B7">
            <w:pPr>
              <w:jc w:val="center"/>
            </w:pPr>
          </w:p>
        </w:tc>
        <w:tc>
          <w:tcPr>
            <w:tcW w:w="1907" w:type="pct"/>
          </w:tcPr>
          <w:p w14:paraId="7CDDBF00" w14:textId="77777777" w:rsidR="004C67B7" w:rsidRPr="00DB5740" w:rsidRDefault="005B5528" w:rsidP="004C67B7">
            <w:pPr>
              <w:pStyle w:val="BodyText"/>
              <w:spacing w:after="120"/>
              <w:rPr>
                <w:b/>
              </w:rPr>
            </w:pPr>
            <w:r w:rsidRPr="00DB5740">
              <w:rPr>
                <w:b/>
              </w:rPr>
              <w:t>Interactive XBRL Exhibits (101 and 104)</w:t>
            </w:r>
          </w:p>
          <w:p w14:paraId="61F56719" w14:textId="77777777" w:rsidR="004C67B7" w:rsidRPr="00DB5740" w:rsidRDefault="005B5528" w:rsidP="004C67B7">
            <w:pPr>
              <w:pStyle w:val="BodyText"/>
              <w:numPr>
                <w:ilvl w:val="0"/>
                <w:numId w:val="13"/>
              </w:numPr>
              <w:spacing w:after="120"/>
              <w:ind w:left="421"/>
            </w:pPr>
            <w:r w:rsidRPr="00DB5740">
              <w:t>The exhibit index m</w:t>
            </w:r>
            <w:r>
              <w:t>u</w:t>
            </w:r>
            <w:r w:rsidRPr="00DB5740">
              <w:t>st include the word</w:t>
            </w:r>
            <w:r w:rsidRPr="00DB5740">
              <w:t xml:space="preserve"> </w:t>
            </w:r>
            <w:r>
              <w:t>“</w:t>
            </w:r>
            <w:r w:rsidRPr="00DB5740">
              <w:t>inl</w:t>
            </w:r>
            <w:r>
              <w:t>i</w:t>
            </w:r>
            <w:r w:rsidRPr="00DB5740">
              <w:t>ne</w:t>
            </w:r>
            <w:r>
              <w:t>”</w:t>
            </w:r>
            <w:r w:rsidRPr="00DB5740">
              <w:t xml:space="preserve"> in the title description for each Inline XBRL exhibit, including Exhibit 101.* and Exhibit 104. (</w:t>
            </w:r>
            <w:hyperlink r:id="rId199" w:history="1">
              <w:r w:rsidRPr="00DB5740">
                <w:rPr>
                  <w:rStyle w:val="Hyperlink"/>
                </w:rPr>
                <w:t>SEC St</w:t>
              </w:r>
              <w:bookmarkStart w:id="115" w:name="_Hlt94003804"/>
              <w:bookmarkEnd w:id="115"/>
              <w:r w:rsidRPr="00DB5740">
                <w:rPr>
                  <w:rStyle w:val="Hyperlink"/>
                </w:rPr>
                <w:t>aff C&amp;DI</w:t>
              </w:r>
            </w:hyperlink>
            <w:r w:rsidRPr="00DB5740">
              <w:t xml:space="preserve"> Question 101.01)</w:t>
            </w:r>
          </w:p>
          <w:p w14:paraId="1E810CEA" w14:textId="77777777" w:rsidR="004C67B7" w:rsidRPr="00DB5740" w:rsidRDefault="005B5528" w:rsidP="004C67B7">
            <w:pPr>
              <w:pStyle w:val="BodyText"/>
              <w:numPr>
                <w:ilvl w:val="0"/>
                <w:numId w:val="13"/>
              </w:numPr>
              <w:spacing w:after="120"/>
              <w:ind w:left="421"/>
            </w:pPr>
            <w:r w:rsidRPr="00DB5740">
              <w:t>Inte</w:t>
            </w:r>
            <w:r w:rsidRPr="00DB5740">
              <w:t>ractive Data Files (</w:t>
            </w:r>
            <w:r w:rsidRPr="00DB5740">
              <w:rPr>
                <w:i/>
                <w:iCs/>
              </w:rPr>
              <w:t>i.e</w:t>
            </w:r>
            <w:r w:rsidRPr="00DB5740">
              <w:t>., those related to financial and other information, not including the tagged cover page data for the report or registration statement) should be identified as an Exhibit 101 in the exhibit index.  (Staff C&amp;DIs, Question 101.01)</w:t>
            </w:r>
          </w:p>
          <w:p w14:paraId="57D936E3" w14:textId="77777777" w:rsidR="004C67B7" w:rsidRPr="00DB5740" w:rsidRDefault="005B5528" w:rsidP="004C67B7">
            <w:pPr>
              <w:spacing w:after="120"/>
            </w:pPr>
            <w:r w:rsidRPr="00DB5740">
              <w:t xml:space="preserve">The </w:t>
            </w:r>
            <w:r w:rsidRPr="00DB5740">
              <w:t>Cover Page Interactive Data File should be identified as Exhibit 104 in the exhibit index, but the requirement to submit a Cover Page Interactive Data File should be satisfied using an Inline XBRL Document Set with EX-101.* attachments other than EX-101.IN</w:t>
            </w:r>
            <w:r w:rsidRPr="00DB5740">
              <w:t>S.  Accordingly, the exhibit index should include a cross-reference to the EX-101.* attachments for the Cover Page Interactive Data File.</w:t>
            </w:r>
          </w:p>
          <w:p w14:paraId="431B800D" w14:textId="77777777" w:rsidR="004C67B7" w:rsidRPr="00DB5740" w:rsidRDefault="005B5528" w:rsidP="004C67B7">
            <w:pPr>
              <w:spacing w:after="120"/>
            </w:pPr>
            <w:r w:rsidRPr="00DB5740">
              <w:t>Confirm that the exhibit list or index lists Exhibit 104.</w:t>
            </w:r>
          </w:p>
        </w:tc>
        <w:tc>
          <w:tcPr>
            <w:tcW w:w="925" w:type="pct"/>
          </w:tcPr>
          <w:p w14:paraId="110C478B" w14:textId="77777777" w:rsidR="004C67B7" w:rsidRPr="00467118" w:rsidRDefault="005B5528" w:rsidP="004C67B7">
            <w:pPr>
              <w:autoSpaceDE w:val="0"/>
              <w:autoSpaceDN w:val="0"/>
              <w:adjustRightInd w:val="0"/>
              <w:spacing w:after="120"/>
            </w:pPr>
            <w:r>
              <w:t>XBRL information:</w:t>
            </w:r>
          </w:p>
          <w:p w14:paraId="1F216AA7" w14:textId="77777777" w:rsidR="004C67B7" w:rsidRPr="00467118" w:rsidRDefault="005B5528" w:rsidP="004C67B7">
            <w:pPr>
              <w:autoSpaceDE w:val="0"/>
              <w:autoSpaceDN w:val="0"/>
              <w:adjustRightInd w:val="0"/>
              <w:spacing w:after="120"/>
            </w:pPr>
            <w:r w:rsidRPr="00467118">
              <w:t>Cover page tagging:</w:t>
            </w:r>
          </w:p>
          <w:p w14:paraId="60054343" w14:textId="77777777" w:rsidR="004C67B7" w:rsidRPr="00467118" w:rsidRDefault="005B5528" w:rsidP="004C67B7">
            <w:pPr>
              <w:spacing w:after="120"/>
              <w:rPr>
                <w:rStyle w:val="Hyperlink"/>
              </w:rPr>
            </w:pPr>
            <w:hyperlink r:id="rId200" w:history="1">
              <w:r>
                <w:rPr>
                  <w:rStyle w:val="Hyperlink"/>
                </w:rPr>
                <w:t>FAST Act Modernization and Simplification of Regulation S-K, Release No. 33-10618</w:t>
              </w:r>
            </w:hyperlink>
            <w:r>
              <w:rPr>
                <w:rStyle w:val="Hyperlink"/>
              </w:rPr>
              <w:t xml:space="preserve"> </w:t>
            </w:r>
          </w:p>
          <w:p w14:paraId="44F23CD4" w14:textId="77777777" w:rsidR="004C67B7" w:rsidRPr="00467118" w:rsidRDefault="005B5528" w:rsidP="004C67B7">
            <w:pPr>
              <w:spacing w:after="120"/>
              <w:rPr>
                <w:rStyle w:val="Hyperlink"/>
              </w:rPr>
            </w:pPr>
            <w:hyperlink r:id="rId201" w:history="1">
              <w:r w:rsidRPr="00467118">
                <w:rPr>
                  <w:rStyle w:val="Hyperlink"/>
                </w:rPr>
                <w:t>Disclosure Simplificat</w:t>
              </w:r>
              <w:r w:rsidRPr="00467118">
                <w:rPr>
                  <w:rStyle w:val="Hyperlink"/>
                </w:rPr>
                <w:t>ion, Round Two: A Deep Dive Into The SEC</w:t>
              </w:r>
              <w:r>
                <w:rPr>
                  <w:rStyle w:val="Hyperlink"/>
                </w:rPr>
                <w:t>’</w:t>
              </w:r>
              <w:r w:rsidRPr="00467118">
                <w:rPr>
                  <w:rStyle w:val="Hyperlink"/>
                </w:rPr>
                <w:t xml:space="preserve">s New </w:t>
              </w:r>
              <w:r>
                <w:rPr>
                  <w:rStyle w:val="Hyperlink"/>
                </w:rPr>
                <w:t>A</w:t>
              </w:r>
              <w:r w:rsidRPr="00467118">
                <w:rPr>
                  <w:rStyle w:val="Hyperlink"/>
                </w:rPr>
                <w:t>mendme</w:t>
              </w:r>
              <w:r>
                <w:rPr>
                  <w:rStyle w:val="Hyperlink"/>
                </w:rPr>
                <w:t>n</w:t>
              </w:r>
              <w:r w:rsidRPr="00467118">
                <w:rPr>
                  <w:rStyle w:val="Hyperlink"/>
                </w:rPr>
                <w:t>ts</w:t>
              </w:r>
            </w:hyperlink>
          </w:p>
          <w:p w14:paraId="1C14628A" w14:textId="77777777" w:rsidR="004C67B7" w:rsidRPr="00467118" w:rsidRDefault="005B5528" w:rsidP="004C67B7">
            <w:pPr>
              <w:spacing w:after="120"/>
            </w:pPr>
            <w:r w:rsidRPr="00467118">
              <w:t>Inline XBRL:</w:t>
            </w:r>
          </w:p>
          <w:p w14:paraId="55151396" w14:textId="77777777" w:rsidR="004C67B7" w:rsidRPr="00467118" w:rsidRDefault="005B5528" w:rsidP="004C67B7">
            <w:pPr>
              <w:spacing w:after="120"/>
              <w:rPr>
                <w:rStyle w:val="Hyperlink"/>
              </w:rPr>
            </w:pPr>
            <w:hyperlink r:id="rId202" w:history="1">
              <w:r>
                <w:rPr>
                  <w:rStyle w:val="Hyperlink"/>
                </w:rPr>
                <w:t>Inline XBRL Filing of Tagged Data, Release No. 33-10514</w:t>
              </w:r>
            </w:hyperlink>
          </w:p>
          <w:p w14:paraId="249D37F6" w14:textId="77777777" w:rsidR="004C67B7" w:rsidRPr="00467118" w:rsidRDefault="005B5528" w:rsidP="004C67B7">
            <w:pPr>
              <w:spacing w:after="120"/>
            </w:pPr>
            <w:hyperlink r:id="rId203" w:history="1">
              <w:r w:rsidRPr="00467118">
                <w:rPr>
                  <w:rStyle w:val="Hyperlink"/>
                </w:rPr>
                <w:t>SEC Ado</w:t>
              </w:r>
              <w:bookmarkStart w:id="116" w:name="_Hlt94003937"/>
              <w:bookmarkEnd w:id="116"/>
              <w:r w:rsidRPr="00467118">
                <w:rPr>
                  <w:rStyle w:val="Hyperlink"/>
                </w:rPr>
                <w:t>pts Mandatory Inline XBRL</w:t>
              </w:r>
            </w:hyperlink>
          </w:p>
          <w:p w14:paraId="3E78A35F" w14:textId="77777777" w:rsidR="004C67B7" w:rsidRPr="00467118" w:rsidRDefault="005B5528" w:rsidP="004C67B7">
            <w:pPr>
              <w:spacing w:after="120"/>
            </w:pPr>
            <w:r w:rsidRPr="00467118">
              <w:t>Inline XBRL Staff C&amp;DIs:</w:t>
            </w:r>
          </w:p>
          <w:p w14:paraId="35204689" w14:textId="77777777" w:rsidR="004C67B7" w:rsidRPr="00467118" w:rsidRDefault="005B5528" w:rsidP="004C67B7">
            <w:pPr>
              <w:spacing w:after="120"/>
              <w:rPr>
                <w:rStyle w:val="Hyperlink"/>
              </w:rPr>
            </w:pPr>
            <w:hyperlink r:id="rId204" w:history="1">
              <w:r w:rsidRPr="00467118">
                <w:rPr>
                  <w:rStyle w:val="Hyperlink"/>
                </w:rPr>
                <w:t>SEC S</w:t>
              </w:r>
              <w:bookmarkStart w:id="117" w:name="_Hlt94003948"/>
              <w:bookmarkStart w:id="118" w:name="_Hlt94003949"/>
              <w:bookmarkEnd w:id="117"/>
              <w:bookmarkEnd w:id="118"/>
              <w:r w:rsidRPr="00467118">
                <w:rPr>
                  <w:rStyle w:val="Hyperlink"/>
                </w:rPr>
                <w:t>taff C&amp;DIs</w:t>
              </w:r>
            </w:hyperlink>
          </w:p>
          <w:p w14:paraId="323EB323" w14:textId="77777777" w:rsidR="004C67B7" w:rsidRPr="00DB5740" w:rsidRDefault="005B5528" w:rsidP="004C67B7">
            <w:pPr>
              <w:spacing w:after="120"/>
            </w:pPr>
            <w:hyperlink r:id="rId205" w:history="1">
              <w:r w:rsidRPr="00467118">
                <w:rPr>
                  <w:rStyle w:val="Hyperlink"/>
                </w:rPr>
                <w:t>Inline XBRL Interpretations Issued by SE</w:t>
              </w:r>
              <w:bookmarkStart w:id="119" w:name="_Hlt94003956"/>
              <w:bookmarkStart w:id="120" w:name="_Hlt94003957"/>
              <w:bookmarkEnd w:id="119"/>
              <w:bookmarkEnd w:id="120"/>
              <w:r w:rsidRPr="00467118">
                <w:rPr>
                  <w:rStyle w:val="Hyperlink"/>
                </w:rPr>
                <w:t>C Staff</w:t>
              </w:r>
            </w:hyperlink>
          </w:p>
        </w:tc>
        <w:tc>
          <w:tcPr>
            <w:tcW w:w="585" w:type="pct"/>
            <w:tcBorders>
              <w:top w:val="single" w:sz="8" w:space="0" w:color="auto"/>
              <w:left w:val="single" w:sz="8" w:space="0" w:color="auto"/>
              <w:bottom w:val="single" w:sz="4" w:space="0" w:color="auto"/>
              <w:right w:val="single" w:sz="8" w:space="0" w:color="auto"/>
            </w:tcBorders>
          </w:tcPr>
          <w:p w14:paraId="2A6B167D" w14:textId="77777777" w:rsidR="004C67B7" w:rsidRPr="00DB5740" w:rsidRDefault="004C67B7" w:rsidP="004C67B7"/>
        </w:tc>
        <w:tc>
          <w:tcPr>
            <w:tcW w:w="314" w:type="pct"/>
            <w:gridSpan w:val="2"/>
            <w:tcBorders>
              <w:top w:val="single" w:sz="8" w:space="0" w:color="auto"/>
              <w:left w:val="single" w:sz="8" w:space="0" w:color="auto"/>
              <w:bottom w:val="single" w:sz="4" w:space="0" w:color="auto"/>
              <w:right w:val="single" w:sz="8" w:space="0" w:color="auto"/>
            </w:tcBorders>
            <w:vAlign w:val="center"/>
          </w:tcPr>
          <w:p w14:paraId="694A8BE7"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6BE61C98"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13C7303D"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auto"/>
          </w:tcPr>
          <w:p w14:paraId="4235680E" w14:textId="77777777" w:rsidR="004C67B7" w:rsidRPr="00DB5740" w:rsidRDefault="004C67B7" w:rsidP="004C67B7">
            <w:pPr>
              <w:rPr>
                <w:color w:val="000000"/>
              </w:rPr>
            </w:pPr>
          </w:p>
        </w:tc>
        <w:tc>
          <w:tcPr>
            <w:tcW w:w="584" w:type="pct"/>
            <w:tcBorders>
              <w:top w:val="single" w:sz="4" w:space="0" w:color="auto"/>
              <w:bottom w:val="single" w:sz="4" w:space="0" w:color="auto"/>
            </w:tcBorders>
            <w:shd w:val="clear" w:color="auto" w:fill="auto"/>
          </w:tcPr>
          <w:p w14:paraId="15E5B3BC" w14:textId="77777777" w:rsidR="004C67B7" w:rsidRPr="00DB5740" w:rsidRDefault="004C67B7" w:rsidP="004C67B7">
            <w:pPr>
              <w:jc w:val="center"/>
              <w:rPr>
                <w:szCs w:val="24"/>
              </w:rPr>
            </w:pPr>
          </w:p>
        </w:tc>
        <w:tc>
          <w:tcPr>
            <w:tcW w:w="1907" w:type="pct"/>
            <w:tcBorders>
              <w:top w:val="single" w:sz="4" w:space="0" w:color="auto"/>
              <w:bottom w:val="single" w:sz="4" w:space="0" w:color="auto"/>
            </w:tcBorders>
            <w:shd w:val="clear" w:color="auto" w:fill="auto"/>
          </w:tcPr>
          <w:p w14:paraId="282CF430" w14:textId="77777777" w:rsidR="004C67B7" w:rsidRPr="00DB5740" w:rsidRDefault="005B5528" w:rsidP="004C67B7">
            <w:pPr>
              <w:spacing w:after="120"/>
              <w:rPr>
                <w:szCs w:val="24"/>
                <w:lang w:val="en"/>
              </w:rPr>
            </w:pPr>
            <w:r w:rsidRPr="00DB5740">
              <w:rPr>
                <w:b/>
                <w:bCs/>
                <w:szCs w:val="24"/>
                <w:lang w:val="en"/>
              </w:rPr>
              <w:t xml:space="preserve">Hyperlinks to Exhibits </w:t>
            </w:r>
          </w:p>
          <w:p w14:paraId="5FA09473" w14:textId="77777777" w:rsidR="004C67B7" w:rsidRPr="00DB5740" w:rsidRDefault="005B5528" w:rsidP="004C67B7">
            <w:pPr>
              <w:spacing w:after="120"/>
              <w:rPr>
                <w:szCs w:val="24"/>
                <w:lang w:val="en"/>
              </w:rPr>
            </w:pPr>
            <w:r w:rsidRPr="00DB5740">
              <w:rPr>
                <w:szCs w:val="24"/>
                <w:lang w:val="en"/>
              </w:rPr>
              <w:t xml:space="preserve">SEC </w:t>
            </w:r>
            <w:r>
              <w:rPr>
                <w:szCs w:val="24"/>
                <w:lang w:val="en"/>
              </w:rPr>
              <w:t xml:space="preserve">rules </w:t>
            </w:r>
            <w:r w:rsidRPr="00DB5740">
              <w:rPr>
                <w:szCs w:val="24"/>
                <w:lang w:val="en"/>
              </w:rPr>
              <w:t>require companies to include active hyperlinks to exhibits in most reports filed with the SEC under the Exchange Act a</w:t>
            </w:r>
            <w:r w:rsidRPr="00DB5740">
              <w:rPr>
                <w:szCs w:val="24"/>
                <w:lang w:val="en"/>
              </w:rPr>
              <w:t xml:space="preserve">nd most registration statements filed under the Securities Act. </w:t>
            </w:r>
          </w:p>
          <w:p w14:paraId="2E6BF6C4" w14:textId="77777777" w:rsidR="004C67B7" w:rsidRPr="00DB5740" w:rsidRDefault="005B5528" w:rsidP="004C67B7">
            <w:pPr>
              <w:spacing w:after="120"/>
              <w:rPr>
                <w:szCs w:val="24"/>
                <w:lang w:val="en"/>
              </w:rPr>
            </w:pPr>
            <w:r w:rsidRPr="00DB5740">
              <w:rPr>
                <w:szCs w:val="24"/>
                <w:lang w:val="en"/>
              </w:rPr>
              <w:t xml:space="preserve">This applies to exhibits filed with the Form </w:t>
            </w:r>
            <w:r>
              <w:rPr>
                <w:szCs w:val="24"/>
                <w:lang w:val="en"/>
              </w:rPr>
              <w:t>10</w:t>
            </w:r>
            <w:r>
              <w:rPr>
                <w:szCs w:val="24"/>
                <w:lang w:val="en"/>
              </w:rPr>
              <w:noBreakHyphen/>
              <w:t>K</w:t>
            </w:r>
            <w:r w:rsidRPr="00DB5740">
              <w:rPr>
                <w:szCs w:val="24"/>
                <w:lang w:val="en"/>
              </w:rPr>
              <w:t xml:space="preserve"> report as well as exhibits incorporated by reference to prior filings.</w:t>
            </w:r>
          </w:p>
          <w:p w14:paraId="7EE681C2" w14:textId="77777777" w:rsidR="004C67B7" w:rsidRPr="00DB5740" w:rsidRDefault="005B5528" w:rsidP="004C67B7">
            <w:pPr>
              <w:spacing w:after="120"/>
              <w:rPr>
                <w:szCs w:val="24"/>
              </w:rPr>
            </w:pPr>
            <w:r w:rsidRPr="00DB5740">
              <w:rPr>
                <w:szCs w:val="24"/>
                <w:lang w:val="en"/>
              </w:rPr>
              <w:t xml:space="preserve">SEC rules also require companies to file most Exchange Act reports in </w:t>
            </w:r>
            <w:r w:rsidRPr="00DB5740">
              <w:rPr>
                <w:szCs w:val="24"/>
                <w:lang w:val="en"/>
              </w:rPr>
              <w:t>HTML format, rather than ASCII.</w:t>
            </w:r>
          </w:p>
        </w:tc>
        <w:tc>
          <w:tcPr>
            <w:tcW w:w="925" w:type="pct"/>
            <w:tcBorders>
              <w:top w:val="single" w:sz="4" w:space="0" w:color="auto"/>
              <w:bottom w:val="single" w:sz="4" w:space="0" w:color="auto"/>
            </w:tcBorders>
            <w:shd w:val="clear" w:color="auto" w:fill="auto"/>
          </w:tcPr>
          <w:p w14:paraId="6C0CF765" w14:textId="77777777" w:rsidR="004C67B7" w:rsidRPr="00DB5740" w:rsidRDefault="005B5528" w:rsidP="004C67B7">
            <w:pPr>
              <w:spacing w:after="120"/>
              <w:rPr>
                <w:szCs w:val="24"/>
                <w:lang w:val="en"/>
              </w:rPr>
            </w:pPr>
            <w:hyperlink r:id="rId206" w:history="1">
              <w:r w:rsidRPr="00DB5740">
                <w:rPr>
                  <w:rStyle w:val="Hyperlink"/>
                  <w:szCs w:val="24"/>
                  <w:lang w:val="en"/>
                </w:rPr>
                <w:t>Exhibi</w:t>
              </w:r>
              <w:bookmarkStart w:id="121" w:name="_Hlt94003970"/>
              <w:bookmarkStart w:id="122" w:name="_Hlt94003971"/>
              <w:bookmarkEnd w:id="121"/>
              <w:bookmarkEnd w:id="122"/>
              <w:r w:rsidRPr="00DB5740">
                <w:rPr>
                  <w:rStyle w:val="Hyperlink"/>
                  <w:szCs w:val="24"/>
                  <w:lang w:val="en"/>
                </w:rPr>
                <w:t>t Hyperlinks and HTML Format</w:t>
              </w:r>
            </w:hyperlink>
            <w:r w:rsidRPr="00DB5740">
              <w:rPr>
                <w:szCs w:val="24"/>
                <w:lang w:val="en"/>
              </w:rPr>
              <w:t xml:space="preserve"> (Release Nos. 33-10322</w:t>
            </w:r>
            <w:r>
              <w:rPr>
                <w:szCs w:val="24"/>
                <w:lang w:val="en"/>
              </w:rPr>
              <w:t xml:space="preserve">; </w:t>
            </w:r>
            <w:r w:rsidRPr="00DB5740">
              <w:rPr>
                <w:szCs w:val="24"/>
                <w:lang w:val="en"/>
              </w:rPr>
              <w:t>34-80132)</w:t>
            </w:r>
          </w:p>
          <w:p w14:paraId="487BCAB6" w14:textId="77777777" w:rsidR="004C67B7" w:rsidRPr="00DB5740" w:rsidRDefault="004C67B7" w:rsidP="004C67B7">
            <w:pPr>
              <w:spacing w:after="120"/>
              <w:rPr>
                <w:szCs w:val="24"/>
                <w:lang w:val="en"/>
              </w:rPr>
            </w:pPr>
          </w:p>
          <w:p w14:paraId="501C8D0C" w14:textId="77777777" w:rsidR="004C67B7" w:rsidRPr="00DB5740" w:rsidRDefault="005B5528" w:rsidP="004C67B7">
            <w:pPr>
              <w:spacing w:after="120"/>
              <w:rPr>
                <w:szCs w:val="24"/>
                <w:lang w:val="en"/>
              </w:rPr>
            </w:pPr>
            <w:hyperlink r:id="rId207" w:history="1">
              <w:r w:rsidRPr="00DB5740">
                <w:rPr>
                  <w:rStyle w:val="Hyperlink"/>
                </w:rPr>
                <w:t>SEC Ado</w:t>
              </w:r>
              <w:bookmarkStart w:id="123" w:name="_Hlt94003995"/>
              <w:bookmarkEnd w:id="123"/>
              <w:r w:rsidRPr="00DB5740">
                <w:rPr>
                  <w:rStyle w:val="Hyperlink"/>
                </w:rPr>
                <w:t>pts Mandatory Exhibit Hyperlinks and HTML Format Rules</w:t>
              </w:r>
            </w:hyperlink>
          </w:p>
          <w:p w14:paraId="725BD288" w14:textId="77777777" w:rsidR="004C67B7" w:rsidRPr="00DB5740" w:rsidRDefault="004C67B7" w:rsidP="004C67B7">
            <w:pPr>
              <w:spacing w:after="120"/>
              <w:rPr>
                <w:szCs w:val="24"/>
                <w:lang w:val="en"/>
              </w:rPr>
            </w:pPr>
          </w:p>
          <w:p w14:paraId="47A8AF0E" w14:textId="77777777" w:rsidR="004C67B7" w:rsidRPr="00DB5740" w:rsidRDefault="005B5528" w:rsidP="004C67B7">
            <w:pPr>
              <w:spacing w:after="120"/>
              <w:rPr>
                <w:szCs w:val="24"/>
                <w:lang w:val="en"/>
              </w:rPr>
            </w:pPr>
            <w:hyperlink r:id="rId208" w:history="1">
              <w:r>
                <w:rPr>
                  <w:rStyle w:val="Hyperlink"/>
                  <w:szCs w:val="24"/>
                  <w:lang w:val="en"/>
                </w:rPr>
                <w:t>Reminder: SEC Exhibit Hyperlink And HTML Format Rules</w:t>
              </w:r>
              <w:r>
                <w:rPr>
                  <w:rStyle w:val="Hyperlink"/>
                  <w:szCs w:val="24"/>
                  <w:lang w:val="en"/>
                </w:rPr>
                <w:t xml:space="preserve"> Become Effective</w:t>
              </w:r>
            </w:hyperlink>
            <w:r w:rsidRPr="00DB5740">
              <w:rPr>
                <w:szCs w:val="24"/>
                <w:lang w:val="en"/>
              </w:rPr>
              <w:t xml:space="preserve"> (Goodwin alert)</w:t>
            </w:r>
          </w:p>
        </w:tc>
        <w:tc>
          <w:tcPr>
            <w:tcW w:w="585" w:type="pct"/>
            <w:tcBorders>
              <w:top w:val="single" w:sz="4" w:space="0" w:color="auto"/>
              <w:bottom w:val="single" w:sz="4" w:space="0" w:color="auto"/>
              <w:right w:val="single" w:sz="4" w:space="0" w:color="auto"/>
            </w:tcBorders>
            <w:shd w:val="clear" w:color="auto" w:fill="auto"/>
          </w:tcPr>
          <w:p w14:paraId="2D508B79" w14:textId="77777777" w:rsidR="004C67B7" w:rsidRPr="00DB5740" w:rsidRDefault="004C67B7" w:rsidP="004C67B7">
            <w:pPr>
              <w:rPr>
                <w:szCs w:val="24"/>
              </w:rPr>
            </w:pPr>
          </w:p>
        </w:tc>
        <w:tc>
          <w:tcPr>
            <w:tcW w:w="314" w:type="pct"/>
            <w:gridSpan w:val="2"/>
            <w:tcBorders>
              <w:top w:val="single" w:sz="4" w:space="0" w:color="auto"/>
              <w:bottom w:val="single" w:sz="4" w:space="0" w:color="auto"/>
              <w:right w:val="single" w:sz="4" w:space="0" w:color="auto"/>
            </w:tcBorders>
            <w:shd w:val="clear" w:color="auto" w:fill="auto"/>
            <w:vAlign w:val="center"/>
          </w:tcPr>
          <w:p w14:paraId="06035D34"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4A1B48DD" w14:textId="77777777" w:rsidR="004C67B7" w:rsidRPr="00DB5740" w:rsidRDefault="005B5528" w:rsidP="004C67B7">
            <w:pPr>
              <w:jc w:val="center"/>
              <w:rPr>
                <w:lang w:val="en"/>
              </w:rPr>
            </w:pPr>
            <w:r w:rsidRPr="00DB5740">
              <w:t xml:space="preserve">No  </w:t>
            </w:r>
            <w:r w:rsidRPr="00DB5740">
              <w:rPr>
                <w:rFonts w:ascii="Segoe UI Symbol" w:eastAsia="MS Gothic" w:hAnsi="Segoe UI Symbol" w:cs="Segoe UI Symbol"/>
              </w:rPr>
              <w:t>☐</w:t>
            </w:r>
          </w:p>
        </w:tc>
      </w:tr>
      <w:tr w:rsidR="00000000" w14:paraId="2FFECAB0"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auto"/>
          </w:tcPr>
          <w:p w14:paraId="5B92417E" w14:textId="77777777" w:rsidR="004C67B7" w:rsidRPr="00DB5740" w:rsidRDefault="004C67B7" w:rsidP="004C67B7">
            <w:pPr>
              <w:rPr>
                <w:color w:val="000000"/>
              </w:rPr>
            </w:pPr>
          </w:p>
        </w:tc>
        <w:tc>
          <w:tcPr>
            <w:tcW w:w="584" w:type="pct"/>
            <w:shd w:val="clear" w:color="auto" w:fill="auto"/>
          </w:tcPr>
          <w:p w14:paraId="14E7547F" w14:textId="77777777" w:rsidR="004C67B7" w:rsidRPr="00DB5740" w:rsidRDefault="004C67B7" w:rsidP="004C67B7">
            <w:pPr>
              <w:jc w:val="center"/>
              <w:rPr>
                <w:szCs w:val="24"/>
              </w:rPr>
            </w:pPr>
          </w:p>
        </w:tc>
        <w:tc>
          <w:tcPr>
            <w:tcW w:w="1907" w:type="pct"/>
            <w:shd w:val="clear" w:color="auto" w:fill="auto"/>
          </w:tcPr>
          <w:p w14:paraId="09A137D3" w14:textId="77777777" w:rsidR="004C67B7" w:rsidRPr="00F72C6C" w:rsidRDefault="005B5528" w:rsidP="004C67B7">
            <w:pPr>
              <w:pStyle w:val="BodyText"/>
              <w:spacing w:after="120"/>
              <w:rPr>
                <w:b/>
              </w:rPr>
            </w:pPr>
            <w:r w:rsidRPr="00F72C6C">
              <w:rPr>
                <w:b/>
              </w:rPr>
              <w:t>Hyperlinks to Information Incorporated by Reference</w:t>
            </w:r>
          </w:p>
          <w:p w14:paraId="08E74929" w14:textId="77777777" w:rsidR="004C67B7" w:rsidRPr="00F72C6C" w:rsidRDefault="005B5528" w:rsidP="004C67B7">
            <w:pPr>
              <w:pStyle w:val="BodyText"/>
              <w:spacing w:after="120"/>
              <w:rPr>
                <w:lang w:val="en"/>
              </w:rPr>
            </w:pPr>
            <w:r w:rsidRPr="00F72C6C">
              <w:rPr>
                <w:lang w:val="en"/>
              </w:rPr>
              <w:t>SEC Securities Act Rule 411 and Exchange Act Rule 12b-23 require that companies include hyperlinks to information on EDGAR if it has been incorporated by</w:t>
            </w:r>
            <w:r w:rsidRPr="00F72C6C">
              <w:rPr>
                <w:lang w:val="en"/>
              </w:rPr>
              <w:t xml:space="preserve"> reference into a registration statement or prospectus.</w:t>
            </w:r>
          </w:p>
          <w:p w14:paraId="2BEE6384" w14:textId="77777777" w:rsidR="004C67B7" w:rsidRPr="00F72C6C" w:rsidRDefault="005B5528" w:rsidP="004C67B7">
            <w:pPr>
              <w:pStyle w:val="BodyText"/>
              <w:spacing w:after="120"/>
              <w:rPr>
                <w:lang w:val="en"/>
              </w:rPr>
            </w:pPr>
            <w:r w:rsidRPr="00F72C6C">
              <w:rPr>
                <w:lang w:val="en"/>
              </w:rPr>
              <w:t>Confirm that each reference has been hyperlinked to the correct information by testing each hyperlink.</w:t>
            </w:r>
          </w:p>
          <w:p w14:paraId="736C8C93" w14:textId="77777777" w:rsidR="004C67B7" w:rsidRPr="00F72C6C" w:rsidRDefault="005B5528" w:rsidP="004C67B7">
            <w:pPr>
              <w:pStyle w:val="BodyText"/>
              <w:spacing w:after="120"/>
              <w:rPr>
                <w:lang w:val="en"/>
              </w:rPr>
            </w:pPr>
            <w:r w:rsidRPr="00F72C6C">
              <w:rPr>
                <w:lang w:val="en"/>
              </w:rPr>
              <w:t>Note t</w:t>
            </w:r>
            <w:r w:rsidRPr="00F72C6C">
              <w:t>he following</w:t>
            </w:r>
            <w:r w:rsidRPr="00F72C6C">
              <w:rPr>
                <w:lang w:val="en"/>
              </w:rPr>
              <w:t xml:space="preserve">: </w:t>
            </w:r>
          </w:p>
          <w:p w14:paraId="2659EA80" w14:textId="77777777" w:rsidR="004C67B7" w:rsidRPr="00F72C6C" w:rsidRDefault="005B5528" w:rsidP="004C67B7">
            <w:pPr>
              <w:pageBreakBefore/>
              <w:numPr>
                <w:ilvl w:val="0"/>
                <w:numId w:val="15"/>
              </w:numPr>
              <w:spacing w:after="120"/>
              <w:ind w:left="421"/>
            </w:pPr>
            <w:r w:rsidRPr="00F72C6C">
              <w:rPr>
                <w:lang w:val="en"/>
              </w:rPr>
              <w:t>Companies that use hyperlinks to incorporate information by reference in a F</w:t>
            </w:r>
            <w:r w:rsidRPr="00F72C6C">
              <w:rPr>
                <w:lang w:val="en"/>
              </w:rPr>
              <w:t>orm 10</w:t>
            </w:r>
            <w:r w:rsidRPr="00F72C6C">
              <w:rPr>
                <w:lang w:val="en"/>
              </w:rPr>
              <w:noBreakHyphen/>
              <w:t>K</w:t>
            </w:r>
            <w:r w:rsidRPr="00F72C6C">
              <w:t xml:space="preserve"> should include the hyperlink itself together with a statement that clearly identifies the document where the incorporated information was originally filed or submitted and the location of the information within that document</w:t>
            </w:r>
          </w:p>
          <w:p w14:paraId="6285F728" w14:textId="77777777" w:rsidR="004C67B7" w:rsidRPr="00F72C6C" w:rsidRDefault="005B5528" w:rsidP="004C67B7">
            <w:pPr>
              <w:pageBreakBefore/>
              <w:numPr>
                <w:ilvl w:val="0"/>
                <w:numId w:val="15"/>
              </w:numPr>
              <w:spacing w:after="120"/>
              <w:ind w:left="421"/>
              <w:rPr>
                <w:lang w:val="en"/>
              </w:rPr>
            </w:pPr>
            <w:r w:rsidRPr="00F72C6C">
              <w:rPr>
                <w:lang w:val="en"/>
              </w:rPr>
              <w:t xml:space="preserve">The </w:t>
            </w:r>
            <w:r>
              <w:rPr>
                <w:lang w:val="en"/>
              </w:rPr>
              <w:t>rules</w:t>
            </w:r>
            <w:r w:rsidRPr="00F72C6C">
              <w:rPr>
                <w:lang w:val="en"/>
              </w:rPr>
              <w:t xml:space="preserve"> do not requi</w:t>
            </w:r>
            <w:r w:rsidRPr="00F72C6C">
              <w:rPr>
                <w:lang w:val="en"/>
              </w:rPr>
              <w:t>re a company to file an amendment to a document solely to correct an inaccurate hyperlink unless that hyperlink was included in a pre-effective registration statement</w:t>
            </w:r>
          </w:p>
          <w:p w14:paraId="48679E62" w14:textId="77777777" w:rsidR="004C67B7" w:rsidRPr="00F72C6C" w:rsidRDefault="005B5528" w:rsidP="004C67B7">
            <w:pPr>
              <w:pStyle w:val="BodyText"/>
              <w:numPr>
                <w:ilvl w:val="0"/>
                <w:numId w:val="16"/>
              </w:numPr>
              <w:spacing w:after="120"/>
              <w:ind w:left="421" w:hanging="196"/>
              <w:rPr>
                <w:lang w:val="en"/>
              </w:rPr>
            </w:pPr>
            <w:r w:rsidRPr="00F72C6C">
              <w:rPr>
                <w:lang w:val="en"/>
              </w:rPr>
              <w:t xml:space="preserve">The </w:t>
            </w:r>
            <w:r>
              <w:rPr>
                <w:lang w:val="en"/>
              </w:rPr>
              <w:t>rules</w:t>
            </w:r>
            <w:r w:rsidRPr="00F72C6C">
              <w:rPr>
                <w:lang w:val="en"/>
              </w:rPr>
              <w:t xml:space="preserve"> do not require a company to correct inaccurate hyperlinks to information incorp</w:t>
            </w:r>
            <w:r w:rsidRPr="00F72C6C">
              <w:rPr>
                <w:lang w:val="en"/>
              </w:rPr>
              <w:t>orated by reference in an effective registration statement by including a corrected hyperlink in a subsequent periodic report or a post-effective amendment</w:t>
            </w:r>
          </w:p>
          <w:p w14:paraId="4A34022C" w14:textId="77777777" w:rsidR="004C67B7" w:rsidRPr="00F72C6C" w:rsidRDefault="005B5528" w:rsidP="004C67B7">
            <w:pPr>
              <w:pageBreakBefore/>
              <w:numPr>
                <w:ilvl w:val="0"/>
                <w:numId w:val="15"/>
              </w:numPr>
              <w:spacing w:after="120"/>
              <w:ind w:left="421"/>
              <w:rPr>
                <w:lang w:val="en"/>
              </w:rPr>
            </w:pPr>
            <w:r w:rsidRPr="00F72C6C">
              <w:rPr>
                <w:lang w:val="en"/>
              </w:rPr>
              <w:t>Filings that are subject to the amended hyperlinking requirements in Rules 411 and 12b-23 must be fi</w:t>
            </w:r>
            <w:r w:rsidRPr="00F72C6C">
              <w:rPr>
                <w:lang w:val="en"/>
              </w:rPr>
              <w:t>led in HTML format</w:t>
            </w:r>
          </w:p>
          <w:p w14:paraId="48443364" w14:textId="77777777" w:rsidR="004C67B7" w:rsidRPr="00DB5740" w:rsidRDefault="005B5528" w:rsidP="004C67B7">
            <w:pPr>
              <w:pageBreakBefore/>
              <w:numPr>
                <w:ilvl w:val="0"/>
                <w:numId w:val="15"/>
              </w:numPr>
              <w:spacing w:after="120"/>
              <w:ind w:left="421"/>
              <w:rPr>
                <w:b/>
                <w:bCs/>
                <w:sz w:val="21"/>
                <w:szCs w:val="21"/>
                <w:lang w:val="en"/>
              </w:rPr>
            </w:pPr>
            <w:r w:rsidRPr="00F72C6C">
              <w:rPr>
                <w:lang w:val="en"/>
              </w:rPr>
              <w:t xml:space="preserve">The SEC indicated in the </w:t>
            </w:r>
            <w:hyperlink r:id="rId209" w:history="1">
              <w:r w:rsidRPr="00F72C6C">
                <w:rPr>
                  <w:rStyle w:val="Hyperlink"/>
                  <w:lang w:val="en"/>
                </w:rPr>
                <w:t>a</w:t>
              </w:r>
              <w:r w:rsidRPr="00F72C6C">
                <w:rPr>
                  <w:rStyle w:val="Hyperlink"/>
                </w:rPr>
                <w:t>d</w:t>
              </w:r>
              <w:r w:rsidRPr="00F72C6C">
                <w:rPr>
                  <w:rStyle w:val="Hyperlink"/>
                  <w:lang w:val="en"/>
                </w:rPr>
                <w:t>opting release</w:t>
              </w:r>
            </w:hyperlink>
            <w:r w:rsidRPr="00F72C6C">
              <w:rPr>
                <w:lang w:val="en"/>
              </w:rPr>
              <w:t xml:space="preserve"> that the amendments are </w:t>
            </w:r>
            <w:r>
              <w:rPr>
                <w:lang w:val="en"/>
              </w:rPr>
              <w:t>“</w:t>
            </w:r>
            <w:r w:rsidRPr="00F72C6C">
              <w:rPr>
                <w:lang w:val="en"/>
              </w:rPr>
              <w:t>solely meant to introduce a navigation feature and do not impose additional or modified requirements re</w:t>
            </w:r>
            <w:r w:rsidRPr="00F72C6C">
              <w:rPr>
                <w:lang w:val="en"/>
              </w:rPr>
              <w:t>garding what information may be incorporated by reference.</w:t>
            </w:r>
            <w:r>
              <w:rPr>
                <w:lang w:val="en"/>
              </w:rPr>
              <w:t>”</w:t>
            </w:r>
            <w:r w:rsidRPr="00DB5740">
              <w:rPr>
                <w:sz w:val="21"/>
                <w:szCs w:val="21"/>
                <w:lang w:val="en"/>
              </w:rPr>
              <w:t> </w:t>
            </w:r>
          </w:p>
        </w:tc>
        <w:tc>
          <w:tcPr>
            <w:tcW w:w="925" w:type="pct"/>
            <w:shd w:val="clear" w:color="auto" w:fill="auto"/>
          </w:tcPr>
          <w:p w14:paraId="7B746242" w14:textId="77777777" w:rsidR="004C67B7" w:rsidRPr="00DB5740" w:rsidRDefault="005B5528" w:rsidP="004C67B7">
            <w:pPr>
              <w:pStyle w:val="BodyText"/>
              <w:spacing w:after="120"/>
            </w:pPr>
            <w:hyperlink r:id="rId210" w:history="1">
              <w:r>
                <w:rPr>
                  <w:rStyle w:val="Hyperlink"/>
                </w:rPr>
                <w:t>FAST Act Modernization and Simplification of Regulation S-K, Release No. 33-10618</w:t>
              </w:r>
            </w:hyperlink>
          </w:p>
          <w:p w14:paraId="3AEA8380" w14:textId="77777777" w:rsidR="004C67B7" w:rsidRPr="00DB5740" w:rsidRDefault="005B5528" w:rsidP="004C67B7">
            <w:pPr>
              <w:pStyle w:val="BodyText"/>
              <w:spacing w:after="120"/>
              <w:rPr>
                <w:rStyle w:val="Hyperlink"/>
              </w:rPr>
            </w:pPr>
            <w:hyperlink r:id="rId211" w:history="1">
              <w:r w:rsidRPr="00DB5740">
                <w:rPr>
                  <w:rStyle w:val="Hyperlink"/>
                </w:rPr>
                <w:t xml:space="preserve">Disclosure Simplification, Round Two: </w:t>
              </w:r>
              <w:bookmarkStart w:id="124" w:name="_Hlt94004225"/>
              <w:bookmarkStart w:id="125" w:name="_Hlt94004226"/>
              <w:bookmarkEnd w:id="124"/>
              <w:bookmarkEnd w:id="125"/>
              <w:r w:rsidRPr="00DB5740">
                <w:rPr>
                  <w:rStyle w:val="Hyperlink"/>
                </w:rPr>
                <w:t>A Deep Dive Into The SEC</w:t>
              </w:r>
              <w:r>
                <w:rPr>
                  <w:rStyle w:val="Hyperlink"/>
                </w:rPr>
                <w:t>’</w:t>
              </w:r>
              <w:r w:rsidRPr="00DB5740">
                <w:rPr>
                  <w:rStyle w:val="Hyperlink"/>
                </w:rPr>
                <w:t>s New Amendments</w:t>
              </w:r>
            </w:hyperlink>
          </w:p>
          <w:p w14:paraId="51C3935A" w14:textId="77777777" w:rsidR="004C67B7" w:rsidRPr="00DB5740" w:rsidRDefault="005B5528" w:rsidP="004C67B7">
            <w:pPr>
              <w:spacing w:after="120"/>
              <w:rPr>
                <w:szCs w:val="24"/>
                <w:lang w:val="en"/>
              </w:rPr>
            </w:pPr>
            <w:hyperlink r:id="rId212" w:history="1">
              <w:r w:rsidRPr="00DB5740">
                <w:rPr>
                  <w:rStyle w:val="Hyperlink"/>
                </w:rPr>
                <w:t>SE</w:t>
              </w:r>
              <w:r w:rsidRPr="00DB5740">
                <w:rPr>
                  <w:rStyle w:val="Hyperlink"/>
                </w:rPr>
                <w:t>C Adopts Mandatory Exhibit Hyperlinks an</w:t>
              </w:r>
              <w:bookmarkStart w:id="126" w:name="_Hlt94004218"/>
              <w:bookmarkEnd w:id="126"/>
              <w:r w:rsidRPr="00DB5740">
                <w:rPr>
                  <w:rStyle w:val="Hyperlink"/>
                </w:rPr>
                <w:t>d HTML Format Rules</w:t>
              </w:r>
            </w:hyperlink>
          </w:p>
        </w:tc>
        <w:tc>
          <w:tcPr>
            <w:tcW w:w="585" w:type="pct"/>
            <w:tcBorders>
              <w:top w:val="single" w:sz="4" w:space="0" w:color="auto"/>
              <w:bottom w:val="single" w:sz="4" w:space="0" w:color="auto"/>
              <w:right w:val="single" w:sz="4" w:space="0" w:color="auto"/>
            </w:tcBorders>
            <w:shd w:val="clear" w:color="auto" w:fill="auto"/>
          </w:tcPr>
          <w:p w14:paraId="56F8B2F8" w14:textId="77777777" w:rsidR="004C67B7" w:rsidRPr="00DB5740" w:rsidRDefault="004C67B7" w:rsidP="004C67B7">
            <w:pPr>
              <w:rPr>
                <w:szCs w:val="24"/>
              </w:rPr>
            </w:pPr>
          </w:p>
        </w:tc>
        <w:tc>
          <w:tcPr>
            <w:tcW w:w="314" w:type="pct"/>
            <w:gridSpan w:val="2"/>
            <w:tcBorders>
              <w:top w:val="single" w:sz="4" w:space="0" w:color="auto"/>
              <w:bottom w:val="single" w:sz="4" w:space="0" w:color="auto"/>
              <w:right w:val="single" w:sz="4" w:space="0" w:color="auto"/>
            </w:tcBorders>
            <w:shd w:val="clear" w:color="auto" w:fill="auto"/>
            <w:vAlign w:val="center"/>
          </w:tcPr>
          <w:p w14:paraId="1DF6B4AE"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1C7E2FDC" w14:textId="77777777" w:rsidR="004C67B7" w:rsidRPr="00DB5740" w:rsidRDefault="005B5528" w:rsidP="004C67B7">
            <w:pPr>
              <w:jc w:val="center"/>
              <w:rPr>
                <w:lang w:val="en"/>
              </w:rPr>
            </w:pPr>
            <w:r w:rsidRPr="00DB5740">
              <w:t xml:space="preserve">No  </w:t>
            </w:r>
            <w:r w:rsidRPr="00DB5740">
              <w:rPr>
                <w:rFonts w:ascii="Segoe UI Symbol" w:eastAsia="MS Gothic" w:hAnsi="Segoe UI Symbol" w:cs="Segoe UI Symbol"/>
              </w:rPr>
              <w:t>☐</w:t>
            </w:r>
          </w:p>
        </w:tc>
      </w:tr>
      <w:tr w:rsidR="00000000" w14:paraId="55C20BB5"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auto"/>
          </w:tcPr>
          <w:p w14:paraId="5CB28B84" w14:textId="77777777" w:rsidR="004C67B7" w:rsidRPr="00DB5740" w:rsidRDefault="004C67B7" w:rsidP="004C67B7">
            <w:pPr>
              <w:rPr>
                <w:color w:val="000000"/>
              </w:rPr>
            </w:pPr>
          </w:p>
        </w:tc>
        <w:tc>
          <w:tcPr>
            <w:tcW w:w="584" w:type="pct"/>
            <w:tcBorders>
              <w:top w:val="single" w:sz="4" w:space="0" w:color="auto"/>
              <w:bottom w:val="single" w:sz="4" w:space="0" w:color="auto"/>
            </w:tcBorders>
            <w:shd w:val="clear" w:color="auto" w:fill="auto"/>
          </w:tcPr>
          <w:p w14:paraId="489F2F07" w14:textId="77777777" w:rsidR="004C67B7" w:rsidRPr="00DB5740" w:rsidRDefault="004C67B7" w:rsidP="004C67B7">
            <w:pPr>
              <w:jc w:val="center"/>
              <w:rPr>
                <w:szCs w:val="24"/>
              </w:rPr>
            </w:pPr>
          </w:p>
        </w:tc>
        <w:tc>
          <w:tcPr>
            <w:tcW w:w="1907" w:type="pct"/>
            <w:tcBorders>
              <w:top w:val="single" w:sz="4" w:space="0" w:color="auto"/>
            </w:tcBorders>
            <w:shd w:val="clear" w:color="auto" w:fill="auto"/>
          </w:tcPr>
          <w:p w14:paraId="1DDC04D9" w14:textId="77777777" w:rsidR="004C67B7" w:rsidRPr="00DB5740" w:rsidRDefault="005B5528" w:rsidP="004C67B7">
            <w:pPr>
              <w:pStyle w:val="BodyText"/>
              <w:spacing w:after="120"/>
              <w:rPr>
                <w:b/>
              </w:rPr>
            </w:pPr>
            <w:r w:rsidRPr="00DB5740">
              <w:rPr>
                <w:b/>
              </w:rPr>
              <w:t>Material Contracts; Two-Year Lookback</w:t>
            </w:r>
          </w:p>
          <w:p w14:paraId="1CB2C27D" w14:textId="77777777" w:rsidR="004C67B7" w:rsidRPr="00DB5740" w:rsidRDefault="005B5528" w:rsidP="004C67B7">
            <w:pPr>
              <w:pStyle w:val="BodyText"/>
              <w:spacing w:after="120"/>
            </w:pPr>
            <w:r w:rsidRPr="00DB5740">
              <w:rPr>
                <w:bCs/>
              </w:rPr>
              <w:t xml:space="preserve">Confirm that the Form </w:t>
            </w:r>
            <w:r>
              <w:rPr>
                <w:bCs/>
              </w:rPr>
              <w:t>10</w:t>
            </w:r>
            <w:r>
              <w:rPr>
                <w:bCs/>
              </w:rPr>
              <w:noBreakHyphen/>
              <w:t>K</w:t>
            </w:r>
            <w:r w:rsidRPr="00DB5740">
              <w:rPr>
                <w:bCs/>
              </w:rPr>
              <w:t xml:space="preserve"> lists as an exhibit each </w:t>
            </w:r>
            <w:r>
              <w:rPr>
                <w:bCs/>
              </w:rPr>
              <w:t>“</w:t>
            </w:r>
            <w:r w:rsidRPr="00DB5740">
              <w:rPr>
                <w:bCs/>
              </w:rPr>
              <w:t>material contract</w:t>
            </w:r>
            <w:r>
              <w:rPr>
                <w:bCs/>
              </w:rPr>
              <w:t>”</w:t>
            </w:r>
            <w:r w:rsidRPr="00DB5740">
              <w:rPr>
                <w:bCs/>
              </w:rPr>
              <w:t xml:space="preserve"> required to be filed by Item 601(b)(10).  </w:t>
            </w:r>
            <w:r w:rsidRPr="00DB5740">
              <w:t>Item 601(b)(10)(i) requires</w:t>
            </w:r>
            <w:r w:rsidRPr="00DB5740">
              <w:t xml:space="preserve"> </w:t>
            </w:r>
            <w:r>
              <w:t>companies</w:t>
            </w:r>
            <w:r w:rsidRPr="00DB5740">
              <w:t xml:space="preserve"> to file every material contract not made in the ordinary course of business if the material contract met either of two conditions:</w:t>
            </w:r>
          </w:p>
          <w:p w14:paraId="10DBFE18" w14:textId="77777777" w:rsidR="004C67B7" w:rsidRPr="00DB5740" w:rsidRDefault="005B5528" w:rsidP="004C67B7">
            <w:pPr>
              <w:pageBreakBefore/>
              <w:numPr>
                <w:ilvl w:val="0"/>
                <w:numId w:val="15"/>
              </w:numPr>
              <w:spacing w:after="120"/>
              <w:ind w:left="421"/>
            </w:pPr>
            <w:r w:rsidRPr="00DB5740">
              <w:t>the contract is to be performed in whole or in part at or after the filing of the registration statement or report</w:t>
            </w:r>
            <w:r w:rsidRPr="00DB5740">
              <w:t>; or</w:t>
            </w:r>
          </w:p>
          <w:p w14:paraId="62AF9989" w14:textId="77777777" w:rsidR="004C67B7" w:rsidRPr="00DB5740" w:rsidRDefault="005B5528" w:rsidP="004C67B7">
            <w:pPr>
              <w:pageBreakBefore/>
              <w:numPr>
                <w:ilvl w:val="0"/>
                <w:numId w:val="15"/>
              </w:numPr>
              <w:spacing w:after="120"/>
              <w:ind w:left="421"/>
            </w:pPr>
            <w:r w:rsidRPr="00DB5740">
              <w:t>the company entered into the contract not more than two years before the filing date, even if fully performed before the filing date.</w:t>
            </w:r>
          </w:p>
          <w:p w14:paraId="05A20D2A" w14:textId="77777777" w:rsidR="004C67B7" w:rsidRPr="00DB5740" w:rsidRDefault="005B5528" w:rsidP="004C67B7">
            <w:pPr>
              <w:pStyle w:val="BodyText"/>
              <w:spacing w:after="120"/>
            </w:pPr>
            <w:r w:rsidRPr="00DB5740">
              <w:t xml:space="preserve">All companies are subject to the requirement to file material contracts to </w:t>
            </w:r>
            <w:r>
              <w:t>b</w:t>
            </w:r>
            <w:r w:rsidRPr="00DB5740">
              <w:t>e performed in whole or in part at or aft</w:t>
            </w:r>
            <w:r w:rsidRPr="00DB5740">
              <w:t>er the filing date of the registration statement or report.</w:t>
            </w:r>
          </w:p>
          <w:p w14:paraId="34DFC96B" w14:textId="77777777" w:rsidR="004C67B7" w:rsidRPr="00DB5740" w:rsidRDefault="005B5528" w:rsidP="004C67B7">
            <w:pPr>
              <w:pStyle w:val="BodyText"/>
              <w:spacing w:after="120"/>
            </w:pPr>
            <w:r w:rsidRPr="00DB5740">
              <w:t>Item 601(b)(10)(i) and Instruction 1 apply the two-year look</w:t>
            </w:r>
            <w:r>
              <w:t>b</w:t>
            </w:r>
            <w:r w:rsidRPr="00DB5740">
              <w:t xml:space="preserve">ack requirement only to </w:t>
            </w:r>
            <w:r>
              <w:t>“</w:t>
            </w:r>
            <w:r w:rsidRPr="00DB5740">
              <w:t>newly reporting registrants,</w:t>
            </w:r>
            <w:r>
              <w:t>”</w:t>
            </w:r>
            <w:r w:rsidRPr="00DB5740">
              <w:t xml:space="preserve"> as defined below.</w:t>
            </w:r>
          </w:p>
          <w:p w14:paraId="083EDA74" w14:textId="77777777" w:rsidR="004C67B7" w:rsidRPr="00DB5740" w:rsidRDefault="005B5528" w:rsidP="004C67B7">
            <w:pPr>
              <w:pStyle w:val="BodyText"/>
              <w:spacing w:after="120"/>
            </w:pPr>
            <w:r w:rsidRPr="00DB5740">
              <w:t xml:space="preserve">The </w:t>
            </w:r>
            <w:r>
              <w:t>rules</w:t>
            </w:r>
            <w:r w:rsidRPr="00DB5740">
              <w:t xml:space="preserve"> define </w:t>
            </w:r>
            <w:r>
              <w:t>“</w:t>
            </w:r>
            <w:r w:rsidRPr="00DB5740">
              <w:t>newly reporting registrant</w:t>
            </w:r>
            <w:r>
              <w:t>”</w:t>
            </w:r>
            <w:r w:rsidRPr="00DB5740">
              <w:t xml:space="preserve"> as:</w:t>
            </w:r>
          </w:p>
          <w:p w14:paraId="6E4F39AD" w14:textId="77777777" w:rsidR="004C67B7" w:rsidRPr="00DB5740" w:rsidRDefault="005B5528" w:rsidP="004C67B7">
            <w:pPr>
              <w:pageBreakBefore/>
              <w:numPr>
                <w:ilvl w:val="0"/>
                <w:numId w:val="15"/>
              </w:numPr>
              <w:spacing w:after="120"/>
              <w:ind w:left="421"/>
            </w:pPr>
            <w:r w:rsidRPr="00DB5740">
              <w:t>A company th</w:t>
            </w:r>
            <w:r w:rsidRPr="00DB5740">
              <w:t>at is not subject to the reporting requirements of Section 13(a) or 15(d) of the Exchange Act at the time of filing;</w:t>
            </w:r>
          </w:p>
          <w:p w14:paraId="7064A21F" w14:textId="77777777" w:rsidR="004C67B7" w:rsidRPr="00DB5740" w:rsidRDefault="005B5528" w:rsidP="004C67B7">
            <w:pPr>
              <w:pageBreakBefore/>
              <w:numPr>
                <w:ilvl w:val="0"/>
                <w:numId w:val="15"/>
              </w:numPr>
              <w:spacing w:after="120"/>
              <w:ind w:left="421"/>
            </w:pPr>
            <w:r w:rsidRPr="00DB5740">
              <w:t>A company that has not filed an annual report since the revival of a previously suspend</w:t>
            </w:r>
            <w:r>
              <w:t>e</w:t>
            </w:r>
            <w:r w:rsidRPr="00DB5740">
              <w:t>d reporting oblig</w:t>
            </w:r>
            <w:r>
              <w:t>a</w:t>
            </w:r>
            <w:r w:rsidRPr="00DB5740">
              <w:t>tion; and</w:t>
            </w:r>
          </w:p>
          <w:p w14:paraId="5FAC7E43" w14:textId="77777777" w:rsidR="004C67B7" w:rsidRPr="00DB5740" w:rsidRDefault="005B5528" w:rsidP="004C67B7">
            <w:pPr>
              <w:pageBreakBefore/>
              <w:numPr>
                <w:ilvl w:val="0"/>
                <w:numId w:val="15"/>
              </w:numPr>
              <w:spacing w:after="120"/>
              <w:ind w:left="421"/>
              <w:rPr>
                <w:lang w:val="en"/>
              </w:rPr>
            </w:pPr>
            <w:r w:rsidRPr="00DB5740">
              <w:t xml:space="preserve">Any company that was a </w:t>
            </w:r>
            <w:r w:rsidRPr="00DB5740">
              <w:t xml:space="preserve">shell company and has not filed a registration statement or Form 8-K </w:t>
            </w:r>
            <w:r>
              <w:t xml:space="preserve">as required by </w:t>
            </w:r>
            <w:r w:rsidRPr="00DB5740">
              <w:t>Item</w:t>
            </w:r>
            <w:r>
              <w:t>s</w:t>
            </w:r>
            <w:r w:rsidRPr="00DB5740">
              <w:t xml:space="preserve"> 2.01 or 5.06</w:t>
            </w:r>
            <w:r>
              <w:t xml:space="preserve"> since the completion of the transaction pursuant to which it ceased to be a shell company</w:t>
            </w:r>
            <w:r w:rsidRPr="00DB5740">
              <w:t>.</w:t>
            </w:r>
          </w:p>
        </w:tc>
        <w:tc>
          <w:tcPr>
            <w:tcW w:w="925" w:type="pct"/>
            <w:tcBorders>
              <w:top w:val="single" w:sz="4" w:space="0" w:color="auto"/>
            </w:tcBorders>
            <w:shd w:val="clear" w:color="auto" w:fill="auto"/>
          </w:tcPr>
          <w:p w14:paraId="7774CC0B" w14:textId="77777777" w:rsidR="004C67B7" w:rsidRPr="00DB5740" w:rsidRDefault="005B5528" w:rsidP="004C67B7">
            <w:pPr>
              <w:pStyle w:val="BodyText"/>
              <w:spacing w:after="120"/>
            </w:pPr>
            <w:hyperlink r:id="rId213" w:history="1">
              <w:r>
                <w:rPr>
                  <w:rStyle w:val="Hyperlink"/>
                </w:rPr>
                <w:t>FAST Act Modernization and Simplification of Regulation S-K, Release No. 33-10618</w:t>
              </w:r>
            </w:hyperlink>
          </w:p>
          <w:p w14:paraId="56C4BDED" w14:textId="77777777" w:rsidR="004C67B7" w:rsidRPr="00DB5740" w:rsidRDefault="005B5528" w:rsidP="004C67B7">
            <w:pPr>
              <w:spacing w:after="120"/>
              <w:rPr>
                <w:szCs w:val="24"/>
                <w:lang w:val="en"/>
              </w:rPr>
            </w:pPr>
            <w:hyperlink r:id="rId214" w:history="1">
              <w:r w:rsidRPr="00DB5740">
                <w:rPr>
                  <w:rStyle w:val="Hyperlink"/>
                </w:rPr>
                <w:t xml:space="preserve">Disclosure Simplification, Round Two: A Deep </w:t>
              </w:r>
              <w:bookmarkStart w:id="127" w:name="_Hlt94004282"/>
              <w:bookmarkEnd w:id="127"/>
              <w:r w:rsidRPr="00DB5740">
                <w:rPr>
                  <w:rStyle w:val="Hyperlink"/>
                </w:rPr>
                <w:t>Dive Into The SEC</w:t>
              </w:r>
              <w:r>
                <w:rPr>
                  <w:rStyle w:val="Hyperlink"/>
                </w:rPr>
                <w:t>’</w:t>
              </w:r>
              <w:r w:rsidRPr="00DB5740">
                <w:rPr>
                  <w:rStyle w:val="Hyperlink"/>
                </w:rPr>
                <w:t>s New Amendments</w:t>
              </w:r>
            </w:hyperlink>
          </w:p>
        </w:tc>
        <w:tc>
          <w:tcPr>
            <w:tcW w:w="585" w:type="pct"/>
            <w:tcBorders>
              <w:top w:val="single" w:sz="4" w:space="0" w:color="auto"/>
              <w:bottom w:val="single" w:sz="4" w:space="0" w:color="auto"/>
              <w:right w:val="single" w:sz="4" w:space="0" w:color="auto"/>
            </w:tcBorders>
            <w:shd w:val="clear" w:color="auto" w:fill="auto"/>
          </w:tcPr>
          <w:p w14:paraId="54B717B8" w14:textId="77777777" w:rsidR="004C67B7" w:rsidRPr="00DB5740" w:rsidRDefault="004C67B7" w:rsidP="004C67B7">
            <w:pPr>
              <w:rPr>
                <w:szCs w:val="24"/>
              </w:rPr>
            </w:pPr>
          </w:p>
        </w:tc>
        <w:tc>
          <w:tcPr>
            <w:tcW w:w="314" w:type="pct"/>
            <w:gridSpan w:val="2"/>
            <w:tcBorders>
              <w:top w:val="single" w:sz="4" w:space="0" w:color="auto"/>
              <w:bottom w:val="single" w:sz="4" w:space="0" w:color="auto"/>
              <w:right w:val="single" w:sz="4" w:space="0" w:color="auto"/>
            </w:tcBorders>
            <w:shd w:val="clear" w:color="auto" w:fill="auto"/>
            <w:vAlign w:val="center"/>
          </w:tcPr>
          <w:p w14:paraId="0F15D9E5"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5454D6D2" w14:textId="77777777" w:rsidR="004C67B7" w:rsidRPr="00DB5740" w:rsidRDefault="005B5528" w:rsidP="004C67B7">
            <w:pPr>
              <w:jc w:val="center"/>
              <w:rPr>
                <w:lang w:val="en"/>
              </w:rPr>
            </w:pPr>
            <w:r w:rsidRPr="00DB5740">
              <w:t xml:space="preserve">No  </w:t>
            </w:r>
            <w:r w:rsidRPr="00DB5740">
              <w:rPr>
                <w:rFonts w:ascii="Segoe UI Symbol" w:eastAsia="MS Gothic" w:hAnsi="Segoe UI Symbol" w:cs="Segoe UI Symbol"/>
              </w:rPr>
              <w:t>☐</w:t>
            </w:r>
          </w:p>
        </w:tc>
      </w:tr>
      <w:tr w:rsidR="00000000" w14:paraId="3B707E8E"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auto"/>
          </w:tcPr>
          <w:p w14:paraId="1047FB4B" w14:textId="77777777" w:rsidR="004C67B7" w:rsidRPr="00DB5740" w:rsidRDefault="004C67B7" w:rsidP="004C67B7">
            <w:pPr>
              <w:rPr>
                <w:color w:val="000000"/>
              </w:rPr>
            </w:pPr>
          </w:p>
        </w:tc>
        <w:tc>
          <w:tcPr>
            <w:tcW w:w="584" w:type="pct"/>
            <w:tcBorders>
              <w:top w:val="single" w:sz="4" w:space="0" w:color="auto"/>
              <w:bottom w:val="single" w:sz="4" w:space="0" w:color="auto"/>
            </w:tcBorders>
            <w:shd w:val="clear" w:color="auto" w:fill="auto"/>
          </w:tcPr>
          <w:p w14:paraId="34802C3C" w14:textId="77777777" w:rsidR="004C67B7" w:rsidRPr="00DB5740" w:rsidRDefault="004C67B7" w:rsidP="004C67B7">
            <w:pPr>
              <w:jc w:val="center"/>
              <w:rPr>
                <w:szCs w:val="24"/>
              </w:rPr>
            </w:pPr>
          </w:p>
        </w:tc>
        <w:tc>
          <w:tcPr>
            <w:tcW w:w="1907" w:type="pct"/>
            <w:shd w:val="clear" w:color="auto" w:fill="auto"/>
          </w:tcPr>
          <w:p w14:paraId="342DD848" w14:textId="77777777" w:rsidR="004C67B7" w:rsidRPr="00DB5740" w:rsidRDefault="005B5528" w:rsidP="004C67B7">
            <w:pPr>
              <w:pStyle w:val="BodyText"/>
              <w:spacing w:after="120"/>
              <w:rPr>
                <w:b/>
              </w:rPr>
            </w:pPr>
            <w:r w:rsidRPr="00DB5740">
              <w:rPr>
                <w:b/>
              </w:rPr>
              <w:t>Exhibits May Omit Schedules and Attachments</w:t>
            </w:r>
          </w:p>
          <w:p w14:paraId="5DCF1DDE" w14:textId="77777777" w:rsidR="004C67B7" w:rsidRPr="00DB5740" w:rsidRDefault="005B5528" w:rsidP="004C67B7">
            <w:pPr>
              <w:pStyle w:val="BodyText"/>
              <w:spacing w:after="120"/>
            </w:pPr>
            <w:r w:rsidRPr="00DB5740">
              <w:t>Item 601(a)(5) provides that a company may omit entire schedules and similar attachments to exhibits if the omitted portions (1) do not contain material information and (2) are n</w:t>
            </w:r>
            <w:r w:rsidRPr="00DB5740">
              <w:t>ot otherwise disclosed in the exhibit or the disclosure document.</w:t>
            </w:r>
          </w:p>
          <w:p w14:paraId="6DB9B413" w14:textId="77777777" w:rsidR="004C67B7" w:rsidRPr="00DB5740" w:rsidRDefault="005B5528" w:rsidP="004C67B7">
            <w:pPr>
              <w:pStyle w:val="BodyText"/>
              <w:spacing w:after="120"/>
            </w:pPr>
            <w:r w:rsidRPr="00DB5740">
              <w:t>The filed exhibit must contain a l</w:t>
            </w:r>
            <w:r>
              <w:t>i</w:t>
            </w:r>
            <w:r w:rsidRPr="00DB5740">
              <w:t>st that briefly identifies t</w:t>
            </w:r>
            <w:r>
              <w:t>h</w:t>
            </w:r>
            <w:r w:rsidRPr="00DB5740">
              <w:t xml:space="preserve">e contents of any omitted schedules </w:t>
            </w:r>
            <w:r>
              <w:t>a</w:t>
            </w:r>
            <w:r w:rsidRPr="00DB5740">
              <w:t>nd attachments, but the SE</w:t>
            </w:r>
            <w:r>
              <w:t>C</w:t>
            </w:r>
            <w:r w:rsidRPr="00DB5740">
              <w:t xml:space="preserve"> clarified that Item 601(a)(5) does not require a company to p</w:t>
            </w:r>
            <w:r w:rsidRPr="00DB5740">
              <w:t>repare a separate list if that information is already included within the exhibit in a manner that conveys the subject matter of the omitted schedules and attachments.  The amendment to Item 601(a)(5) expand</w:t>
            </w:r>
            <w:r>
              <w:t>ed</w:t>
            </w:r>
            <w:r w:rsidRPr="00DB5740">
              <w:t xml:space="preserve"> the existing accommodation of Item 601(b)(2) t</w:t>
            </w:r>
            <w:r w:rsidRPr="00DB5740">
              <w:t>o all exhibits filed under Item 601.</w:t>
            </w:r>
          </w:p>
          <w:p w14:paraId="083E225C" w14:textId="77777777" w:rsidR="004C67B7" w:rsidRPr="00DB5740" w:rsidRDefault="005B5528" w:rsidP="004C67B7">
            <w:pPr>
              <w:pStyle w:val="BodyText"/>
              <w:spacing w:after="120"/>
              <w:rPr>
                <w:b/>
                <w:sz w:val="20"/>
              </w:rPr>
            </w:pPr>
            <w:r w:rsidRPr="00DB5740">
              <w:t>Unlike Item 601(b)(2), Item 601(a)(5) does not require a company to include an explicit agreement to furnish a supplemental copy of any omitted schedule upon request of the SEC staff, although other SEC rules require co</w:t>
            </w:r>
            <w:r w:rsidRPr="00DB5740">
              <w:t>mpanies to comply with such a request.</w:t>
            </w:r>
          </w:p>
        </w:tc>
        <w:tc>
          <w:tcPr>
            <w:tcW w:w="925" w:type="pct"/>
            <w:shd w:val="clear" w:color="auto" w:fill="auto"/>
          </w:tcPr>
          <w:p w14:paraId="52B8D4CC" w14:textId="77777777" w:rsidR="004C67B7" w:rsidRPr="00DB5740" w:rsidRDefault="005B5528" w:rsidP="004C67B7">
            <w:pPr>
              <w:pStyle w:val="BodyText"/>
              <w:spacing w:after="120"/>
            </w:pPr>
            <w:hyperlink r:id="rId215" w:history="1">
              <w:r>
                <w:rPr>
                  <w:rStyle w:val="Hyperlink"/>
                </w:rPr>
                <w:t>FAST Act Modernization and Simplification of Regulation S-K, Release No. 33-10618</w:t>
              </w:r>
            </w:hyperlink>
          </w:p>
          <w:p w14:paraId="17C88ADA" w14:textId="77777777" w:rsidR="004C67B7" w:rsidRPr="00DB5740" w:rsidRDefault="005B5528" w:rsidP="004C67B7">
            <w:pPr>
              <w:pStyle w:val="BodyText"/>
              <w:spacing w:after="120"/>
            </w:pPr>
            <w:hyperlink r:id="rId216" w:history="1">
              <w:r w:rsidRPr="00DB5740">
                <w:rPr>
                  <w:rStyle w:val="Hyperlink"/>
                </w:rPr>
                <w:t>Disclosure Simplification, Round Two: A Deep Dive Into The SEC</w:t>
              </w:r>
              <w:r>
                <w:rPr>
                  <w:rStyle w:val="Hyperlink"/>
                </w:rPr>
                <w:t>’</w:t>
              </w:r>
              <w:r w:rsidRPr="00DB5740">
                <w:rPr>
                  <w:rStyle w:val="Hyperlink"/>
                </w:rPr>
                <w:t>s New Amendments</w:t>
              </w:r>
            </w:hyperlink>
          </w:p>
        </w:tc>
        <w:tc>
          <w:tcPr>
            <w:tcW w:w="585" w:type="pct"/>
            <w:tcBorders>
              <w:top w:val="single" w:sz="4" w:space="0" w:color="auto"/>
              <w:bottom w:val="single" w:sz="4" w:space="0" w:color="auto"/>
              <w:right w:val="single" w:sz="4" w:space="0" w:color="auto"/>
            </w:tcBorders>
            <w:shd w:val="clear" w:color="auto" w:fill="auto"/>
          </w:tcPr>
          <w:p w14:paraId="03838086" w14:textId="77777777" w:rsidR="004C67B7" w:rsidRPr="00DB5740" w:rsidRDefault="004C67B7" w:rsidP="004C67B7">
            <w:pPr>
              <w:rPr>
                <w:szCs w:val="24"/>
              </w:rPr>
            </w:pPr>
          </w:p>
        </w:tc>
        <w:tc>
          <w:tcPr>
            <w:tcW w:w="314" w:type="pct"/>
            <w:gridSpan w:val="2"/>
            <w:tcBorders>
              <w:top w:val="single" w:sz="4" w:space="0" w:color="auto"/>
              <w:bottom w:val="single" w:sz="4" w:space="0" w:color="auto"/>
              <w:right w:val="single" w:sz="4" w:space="0" w:color="auto"/>
            </w:tcBorders>
            <w:shd w:val="clear" w:color="auto" w:fill="auto"/>
            <w:vAlign w:val="center"/>
          </w:tcPr>
          <w:p w14:paraId="66E6586A"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2DDABC24" w14:textId="77777777" w:rsidR="004C67B7" w:rsidRPr="00DB5740" w:rsidRDefault="005B5528" w:rsidP="004C67B7">
            <w:pPr>
              <w:jc w:val="center"/>
              <w:rPr>
                <w:lang w:val="en"/>
              </w:rPr>
            </w:pPr>
            <w:r w:rsidRPr="00DB5740">
              <w:t xml:space="preserve">No  </w:t>
            </w:r>
            <w:r w:rsidRPr="00DB5740">
              <w:rPr>
                <w:rFonts w:ascii="Segoe UI Symbol" w:eastAsia="MS Gothic" w:hAnsi="Segoe UI Symbol" w:cs="Segoe UI Symbol"/>
              </w:rPr>
              <w:t>☐</w:t>
            </w:r>
          </w:p>
        </w:tc>
      </w:tr>
      <w:tr w:rsidR="00000000" w14:paraId="35FB528F"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auto"/>
          </w:tcPr>
          <w:p w14:paraId="65B3E061" w14:textId="77777777" w:rsidR="004C67B7" w:rsidRPr="00DB5740" w:rsidRDefault="004C67B7" w:rsidP="004C67B7">
            <w:pPr>
              <w:rPr>
                <w:color w:val="000000"/>
              </w:rPr>
            </w:pPr>
          </w:p>
        </w:tc>
        <w:tc>
          <w:tcPr>
            <w:tcW w:w="584" w:type="pct"/>
            <w:tcBorders>
              <w:top w:val="single" w:sz="4" w:space="0" w:color="auto"/>
              <w:bottom w:val="single" w:sz="4" w:space="0" w:color="auto"/>
            </w:tcBorders>
            <w:shd w:val="clear" w:color="auto" w:fill="auto"/>
          </w:tcPr>
          <w:p w14:paraId="40B3DE6D" w14:textId="77777777" w:rsidR="004C67B7" w:rsidRPr="00DB5740" w:rsidRDefault="004C67B7" w:rsidP="004C67B7">
            <w:pPr>
              <w:jc w:val="center"/>
              <w:rPr>
                <w:szCs w:val="24"/>
              </w:rPr>
            </w:pPr>
          </w:p>
        </w:tc>
        <w:tc>
          <w:tcPr>
            <w:tcW w:w="1907" w:type="pct"/>
            <w:shd w:val="clear" w:color="auto" w:fill="auto"/>
          </w:tcPr>
          <w:p w14:paraId="4F68D8BC" w14:textId="77777777" w:rsidR="004C67B7" w:rsidRPr="00A437F2" w:rsidRDefault="005B5528" w:rsidP="004C67B7">
            <w:pPr>
              <w:pStyle w:val="BodyText"/>
              <w:spacing w:after="120"/>
              <w:rPr>
                <w:b/>
              </w:rPr>
            </w:pPr>
            <w:r w:rsidRPr="00A437F2">
              <w:rPr>
                <w:b/>
              </w:rPr>
              <w:t>Material Contract Exhibits May Omit Confidential Information</w:t>
            </w:r>
          </w:p>
          <w:p w14:paraId="044F75AC" w14:textId="77777777" w:rsidR="004C67B7" w:rsidRPr="00A437F2" w:rsidRDefault="005B5528" w:rsidP="004C67B7">
            <w:pPr>
              <w:pStyle w:val="BodyText"/>
              <w:spacing w:after="120"/>
            </w:pPr>
            <w:r w:rsidRPr="00A437F2">
              <w:t xml:space="preserve">Item 601(b)(10) requires companies to file certain material </w:t>
            </w:r>
            <w:r w:rsidRPr="00A437F2">
              <w:t>contracts as an exhibit to various SEC reports and registration statements.  Before the 2019 amendments, the only way to omit immaterial but competitively sensitive information was for a company to request confidential treatment of sensitive information; i</w:t>
            </w:r>
            <w:r w:rsidRPr="00A437F2">
              <w:t>f the SE</w:t>
            </w:r>
            <w:r>
              <w:t xml:space="preserve">C </w:t>
            </w:r>
            <w:r w:rsidRPr="00A437F2">
              <w:t>granted the request, companies were permitted to redact specific information from the material contract exhibit publicly filed on EDGAR.</w:t>
            </w:r>
          </w:p>
          <w:p w14:paraId="776204FF" w14:textId="77777777" w:rsidR="004C67B7" w:rsidRPr="00A437F2" w:rsidRDefault="005B5528" w:rsidP="004C67B7">
            <w:pPr>
              <w:pStyle w:val="BodyText"/>
              <w:spacing w:after="120"/>
            </w:pPr>
            <w:r w:rsidRPr="00A437F2">
              <w:t>Item 601(b)(10) permits companies to omit confidential information from material contracts exhibits filed und</w:t>
            </w:r>
            <w:r w:rsidRPr="00A437F2">
              <w:t>er Item 601(b)(10) and certain other exhibits without submitting a confidential treatment request to the SEC if the information satisfies specified conditions.  Conditions include, among others: the information (1) must not be material and (2) must be like</w:t>
            </w:r>
            <w:r w:rsidRPr="00A437F2">
              <w:t>ly to cause competitive harm to the company if publicly disclosed.  Companies must limit redactions to no more information than necessary to prevent competitive harm to the company.</w:t>
            </w:r>
          </w:p>
          <w:p w14:paraId="0666AFB7" w14:textId="77777777" w:rsidR="004C67B7" w:rsidRPr="00A437F2" w:rsidRDefault="005B5528" w:rsidP="004C67B7">
            <w:pPr>
              <w:pStyle w:val="BodyText"/>
              <w:spacing w:after="120"/>
            </w:pPr>
            <w:r w:rsidRPr="00A437F2">
              <w:t>SEC rules require companies (1) to indicate omitted information with brack</w:t>
            </w:r>
            <w:r w:rsidRPr="00A437F2">
              <w:t>ets in the filed version of the exhibit, (2) to mark the exhibit index to indicate that portions of the exhibit have been omitted, and (3) to submit marked copies of exhibits for review by SEC staff and provide supplemental materials to the SEC staff promp</w:t>
            </w:r>
            <w:r w:rsidRPr="00A437F2">
              <w:t xml:space="preserve">tly upon request.  The SEC staff may request that the company file an amendment that includes some or all of the previously redacted information. </w:t>
            </w:r>
          </w:p>
          <w:p w14:paraId="2C6FA35F" w14:textId="77777777" w:rsidR="004C67B7" w:rsidRPr="00DB5740" w:rsidRDefault="005B5528" w:rsidP="004C67B7">
            <w:pPr>
              <w:pStyle w:val="BodyText"/>
              <w:spacing w:after="120"/>
              <w:rPr>
                <w:b/>
                <w:sz w:val="21"/>
                <w:szCs w:val="21"/>
              </w:rPr>
            </w:pPr>
            <w:r w:rsidRPr="00A437F2">
              <w:rPr>
                <w:b/>
              </w:rPr>
              <w:t>Important note:</w:t>
            </w:r>
            <w:r w:rsidRPr="00A437F2">
              <w:rPr>
                <w:b/>
                <w:i/>
              </w:rPr>
              <w:t xml:space="preserve"> </w:t>
            </w:r>
            <w:r w:rsidRPr="00A437F2">
              <w:t>Companies that have previously obtained a confidential treatment order which is about to expi</w:t>
            </w:r>
            <w:r w:rsidRPr="00A437F2">
              <w:t xml:space="preserve">re must file an application under Rules 406 or 24b-2 to continue to protect the confidential information from public release.  </w:t>
            </w:r>
            <w:r w:rsidRPr="00A437F2">
              <w:rPr>
                <w:b/>
              </w:rPr>
              <w:t xml:space="preserve">Filing the redacted exhibit on EDGAR following the procedures specified by the 2019 amendments to Item 601(b) of Regulation S-K </w:t>
            </w:r>
            <w:r w:rsidRPr="00A437F2">
              <w:rPr>
                <w:b/>
                <w:i/>
                <w:u w:val="single"/>
              </w:rPr>
              <w:t>w</w:t>
            </w:r>
            <w:r w:rsidRPr="00A437F2">
              <w:rPr>
                <w:b/>
                <w:i/>
                <w:u w:val="single"/>
              </w:rPr>
              <w:t>ill not</w:t>
            </w:r>
            <w:r w:rsidRPr="00A437F2">
              <w:rPr>
                <w:b/>
              </w:rPr>
              <w:t xml:space="preserve"> provide renewed confidential treatment for the previously filed information.</w:t>
            </w:r>
          </w:p>
        </w:tc>
        <w:tc>
          <w:tcPr>
            <w:tcW w:w="925" w:type="pct"/>
            <w:shd w:val="clear" w:color="auto" w:fill="auto"/>
          </w:tcPr>
          <w:p w14:paraId="51DB4D93" w14:textId="77777777" w:rsidR="004C67B7" w:rsidRPr="00DB5740" w:rsidRDefault="005B5528" w:rsidP="004C67B7">
            <w:pPr>
              <w:pStyle w:val="BodyText"/>
              <w:spacing w:after="120"/>
            </w:pPr>
            <w:r w:rsidRPr="00DB5740">
              <w:t xml:space="preserve">Regulation S-K </w:t>
            </w:r>
            <w:hyperlink r:id="rId217" w:anchor="229.601" w:history="1">
              <w:r w:rsidRPr="005415A0">
                <w:rPr>
                  <w:rStyle w:val="Hyperlink"/>
                </w:rPr>
                <w:t>Item 601(b)(10) and 601(b)(2)</w:t>
              </w:r>
            </w:hyperlink>
          </w:p>
          <w:p w14:paraId="653BE6FA" w14:textId="77777777" w:rsidR="004C67B7" w:rsidRPr="00DB5740" w:rsidRDefault="005B5528" w:rsidP="004C67B7">
            <w:pPr>
              <w:pStyle w:val="BodyText"/>
              <w:spacing w:after="120"/>
            </w:pPr>
            <w:hyperlink r:id="rId218" w:history="1">
              <w:r w:rsidRPr="00DB5740">
                <w:rPr>
                  <w:rStyle w:val="Hyperlink"/>
                </w:rPr>
                <w:t>SEC Release No. 33-10618</w:t>
              </w:r>
            </w:hyperlink>
          </w:p>
          <w:p w14:paraId="4618F836" w14:textId="77777777" w:rsidR="004C67B7" w:rsidRPr="00DB5740" w:rsidRDefault="005B5528" w:rsidP="004C67B7">
            <w:pPr>
              <w:pStyle w:val="BodyText"/>
              <w:spacing w:after="120"/>
              <w:rPr>
                <w:rStyle w:val="Hyperlink"/>
              </w:rPr>
            </w:pPr>
            <w:hyperlink r:id="rId219" w:history="1">
              <w:r w:rsidRPr="00DB5740">
                <w:rPr>
                  <w:rStyle w:val="Hyperlink"/>
                </w:rPr>
                <w:t>Disclosure Simplification, Round Two: A Deep Dive Into The SEC</w:t>
              </w:r>
              <w:r>
                <w:rPr>
                  <w:rStyle w:val="Hyperlink"/>
                </w:rPr>
                <w:t>’</w:t>
              </w:r>
              <w:r w:rsidRPr="00DB5740">
                <w:rPr>
                  <w:rStyle w:val="Hyperlink"/>
                </w:rPr>
                <w:t>s New Amendments</w:t>
              </w:r>
            </w:hyperlink>
          </w:p>
          <w:p w14:paraId="46F6FEF7" w14:textId="77777777" w:rsidR="004C67B7" w:rsidRPr="00DB5740" w:rsidRDefault="005B5528" w:rsidP="004C67B7">
            <w:pPr>
              <w:pStyle w:val="BodyText"/>
              <w:spacing w:after="120"/>
            </w:pPr>
            <w:hyperlink r:id="rId220" w:history="1">
              <w:r w:rsidRPr="00DB5740">
                <w:rPr>
                  <w:rStyle w:val="Hyperlink"/>
                </w:rPr>
                <w:t>CF Disclosure Guidance: Topic No. 7: Co</w:t>
              </w:r>
              <w:bookmarkStart w:id="128" w:name="_Hlt94457714"/>
              <w:bookmarkStart w:id="129" w:name="_Hlt94457715"/>
              <w:r w:rsidRPr="00DB5740">
                <w:rPr>
                  <w:rStyle w:val="Hyperlink"/>
                </w:rPr>
                <w:t>n</w:t>
              </w:r>
              <w:bookmarkEnd w:id="128"/>
              <w:bookmarkEnd w:id="129"/>
              <w:r w:rsidRPr="00DB5740">
                <w:rPr>
                  <w:rStyle w:val="Hyperlink"/>
                </w:rPr>
                <w:t>fidential Treatment Applications Submitted Pursuant to Rules 406 and 24b-2</w:t>
              </w:r>
            </w:hyperlink>
          </w:p>
        </w:tc>
        <w:tc>
          <w:tcPr>
            <w:tcW w:w="585" w:type="pct"/>
            <w:tcBorders>
              <w:top w:val="single" w:sz="4" w:space="0" w:color="auto"/>
              <w:bottom w:val="single" w:sz="4" w:space="0" w:color="auto"/>
              <w:right w:val="single" w:sz="4" w:space="0" w:color="auto"/>
            </w:tcBorders>
            <w:shd w:val="clear" w:color="auto" w:fill="auto"/>
          </w:tcPr>
          <w:p w14:paraId="0CA03149" w14:textId="77777777" w:rsidR="004C67B7" w:rsidRPr="00DB5740" w:rsidRDefault="004C67B7" w:rsidP="004C67B7">
            <w:pPr>
              <w:rPr>
                <w:szCs w:val="24"/>
              </w:rPr>
            </w:pPr>
          </w:p>
        </w:tc>
        <w:tc>
          <w:tcPr>
            <w:tcW w:w="314" w:type="pct"/>
            <w:gridSpan w:val="2"/>
            <w:tcBorders>
              <w:top w:val="single" w:sz="4" w:space="0" w:color="auto"/>
              <w:bottom w:val="single" w:sz="4" w:space="0" w:color="auto"/>
              <w:right w:val="single" w:sz="4" w:space="0" w:color="auto"/>
            </w:tcBorders>
            <w:shd w:val="clear" w:color="auto" w:fill="auto"/>
            <w:vAlign w:val="center"/>
          </w:tcPr>
          <w:p w14:paraId="788F720B"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3216F680" w14:textId="77777777" w:rsidR="004C67B7" w:rsidRPr="00DB5740" w:rsidRDefault="005B5528" w:rsidP="004C67B7">
            <w:pPr>
              <w:jc w:val="center"/>
              <w:rPr>
                <w:lang w:val="en"/>
              </w:rPr>
            </w:pPr>
            <w:r w:rsidRPr="00DB5740">
              <w:t xml:space="preserve">No  </w:t>
            </w:r>
            <w:r w:rsidRPr="00DB5740">
              <w:rPr>
                <w:rFonts w:ascii="Segoe UI Symbol" w:eastAsia="MS Gothic" w:hAnsi="Segoe UI Symbol" w:cs="Segoe UI Symbol"/>
              </w:rPr>
              <w:t>☐</w:t>
            </w:r>
          </w:p>
        </w:tc>
      </w:tr>
      <w:tr w:rsidR="00000000" w14:paraId="2DE5602E"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auto"/>
          </w:tcPr>
          <w:p w14:paraId="059B0B6C" w14:textId="77777777" w:rsidR="004C67B7" w:rsidRPr="00DB5740" w:rsidRDefault="004C67B7" w:rsidP="004C67B7">
            <w:pPr>
              <w:rPr>
                <w:color w:val="000000"/>
              </w:rPr>
            </w:pPr>
          </w:p>
        </w:tc>
        <w:tc>
          <w:tcPr>
            <w:tcW w:w="584" w:type="pct"/>
            <w:tcBorders>
              <w:top w:val="single" w:sz="4" w:space="0" w:color="auto"/>
              <w:bottom w:val="single" w:sz="4" w:space="0" w:color="auto"/>
            </w:tcBorders>
            <w:shd w:val="clear" w:color="auto" w:fill="auto"/>
          </w:tcPr>
          <w:p w14:paraId="2811EF0D" w14:textId="77777777" w:rsidR="004C67B7" w:rsidRPr="00DB5740" w:rsidRDefault="004C67B7" w:rsidP="004C67B7">
            <w:pPr>
              <w:jc w:val="center"/>
              <w:rPr>
                <w:szCs w:val="24"/>
              </w:rPr>
            </w:pPr>
          </w:p>
        </w:tc>
        <w:tc>
          <w:tcPr>
            <w:tcW w:w="1907" w:type="pct"/>
            <w:shd w:val="clear" w:color="auto" w:fill="auto"/>
          </w:tcPr>
          <w:p w14:paraId="530C7DC5" w14:textId="77777777" w:rsidR="004C67B7" w:rsidRPr="00DB5740" w:rsidRDefault="005B5528" w:rsidP="004C67B7">
            <w:pPr>
              <w:pStyle w:val="BodyText"/>
              <w:spacing w:after="120"/>
              <w:rPr>
                <w:b/>
              </w:rPr>
            </w:pPr>
            <w:r w:rsidRPr="00DB5740">
              <w:rPr>
                <w:b/>
              </w:rPr>
              <w:t>Exhibits Should Omit Personally Identifiable Information</w:t>
            </w:r>
          </w:p>
          <w:p w14:paraId="2141C350" w14:textId="77777777" w:rsidR="004C67B7" w:rsidRPr="00DB5740" w:rsidRDefault="005B5528" w:rsidP="004C67B7">
            <w:pPr>
              <w:pStyle w:val="BodyText"/>
              <w:spacing w:after="120"/>
              <w:rPr>
                <w:b/>
                <w:sz w:val="20"/>
              </w:rPr>
            </w:pPr>
            <w:r w:rsidRPr="00DB5740">
              <w:t>It</w:t>
            </w:r>
            <w:r w:rsidRPr="00DB5740">
              <w:t>em 601(b)(6) permits companies to omit personally identifiable information such as bank account numbers, social security numbers, home addresses, and similar information from an exhibit without submitting a confidential treatment request.</w:t>
            </w:r>
          </w:p>
        </w:tc>
        <w:tc>
          <w:tcPr>
            <w:tcW w:w="925" w:type="pct"/>
            <w:shd w:val="clear" w:color="auto" w:fill="auto"/>
          </w:tcPr>
          <w:p w14:paraId="72EE983F" w14:textId="77777777" w:rsidR="004C67B7" w:rsidRPr="00DB5740" w:rsidRDefault="005B5528" w:rsidP="004C67B7">
            <w:pPr>
              <w:pStyle w:val="BodyText"/>
              <w:spacing w:after="120"/>
            </w:pPr>
            <w:hyperlink r:id="rId221" w:history="1">
              <w:r>
                <w:rPr>
                  <w:rStyle w:val="Hyperlink"/>
                </w:rPr>
                <w:t>FAST Act Modernization and Simplification of Regulation S-K, Release No. 33-10618</w:t>
              </w:r>
            </w:hyperlink>
          </w:p>
          <w:p w14:paraId="46538DF7" w14:textId="77777777" w:rsidR="004C67B7" w:rsidRPr="00DB5740" w:rsidRDefault="005B5528" w:rsidP="004C67B7">
            <w:pPr>
              <w:pStyle w:val="BodyText"/>
              <w:spacing w:after="120"/>
            </w:pPr>
            <w:hyperlink r:id="rId222" w:history="1">
              <w:r w:rsidRPr="00DB5740">
                <w:rPr>
                  <w:rStyle w:val="Hyperlink"/>
                </w:rPr>
                <w:t>Disclosure Simplif</w:t>
              </w:r>
              <w:r w:rsidRPr="00DB5740">
                <w:rPr>
                  <w:rStyle w:val="Hyperlink"/>
                </w:rPr>
                <w:t>ication, Round Two: A Deep Dive Into The SEC</w:t>
              </w:r>
              <w:r>
                <w:rPr>
                  <w:rStyle w:val="Hyperlink"/>
                </w:rPr>
                <w:t>’</w:t>
              </w:r>
              <w:r w:rsidRPr="00DB5740">
                <w:rPr>
                  <w:rStyle w:val="Hyperlink"/>
                </w:rPr>
                <w:t>s New Amendments</w:t>
              </w:r>
            </w:hyperlink>
          </w:p>
        </w:tc>
        <w:tc>
          <w:tcPr>
            <w:tcW w:w="585" w:type="pct"/>
            <w:tcBorders>
              <w:top w:val="single" w:sz="4" w:space="0" w:color="auto"/>
              <w:bottom w:val="single" w:sz="4" w:space="0" w:color="auto"/>
              <w:right w:val="single" w:sz="4" w:space="0" w:color="auto"/>
            </w:tcBorders>
            <w:shd w:val="clear" w:color="auto" w:fill="auto"/>
          </w:tcPr>
          <w:p w14:paraId="0E7A17EC" w14:textId="77777777" w:rsidR="004C67B7" w:rsidRPr="00DB5740" w:rsidRDefault="004C67B7" w:rsidP="004C67B7">
            <w:pPr>
              <w:rPr>
                <w:szCs w:val="24"/>
              </w:rPr>
            </w:pPr>
          </w:p>
        </w:tc>
        <w:tc>
          <w:tcPr>
            <w:tcW w:w="314" w:type="pct"/>
            <w:gridSpan w:val="2"/>
            <w:tcBorders>
              <w:top w:val="single" w:sz="4" w:space="0" w:color="auto"/>
              <w:bottom w:val="single" w:sz="4" w:space="0" w:color="auto"/>
              <w:right w:val="single" w:sz="4" w:space="0" w:color="auto"/>
            </w:tcBorders>
            <w:shd w:val="clear" w:color="auto" w:fill="auto"/>
            <w:vAlign w:val="center"/>
          </w:tcPr>
          <w:p w14:paraId="7CF46E61"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483B818A" w14:textId="77777777" w:rsidR="004C67B7" w:rsidRPr="00DB5740" w:rsidRDefault="005B5528" w:rsidP="004C67B7">
            <w:pPr>
              <w:jc w:val="center"/>
              <w:rPr>
                <w:lang w:val="en"/>
              </w:rPr>
            </w:pPr>
            <w:r w:rsidRPr="00DB5740">
              <w:t xml:space="preserve">No  </w:t>
            </w:r>
            <w:r w:rsidRPr="00DB5740">
              <w:rPr>
                <w:rFonts w:ascii="Segoe UI Symbol" w:eastAsia="MS Gothic" w:hAnsi="Segoe UI Symbol" w:cs="Segoe UI Symbol"/>
              </w:rPr>
              <w:t>☐</w:t>
            </w:r>
          </w:p>
        </w:tc>
      </w:tr>
      <w:tr w:rsidR="00000000" w14:paraId="07482738"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auto"/>
          </w:tcPr>
          <w:p w14:paraId="53A77E68" w14:textId="77777777" w:rsidR="004C67B7" w:rsidRPr="00DB5740" w:rsidRDefault="004C67B7" w:rsidP="004C67B7">
            <w:pPr>
              <w:rPr>
                <w:color w:val="000000"/>
              </w:rPr>
            </w:pPr>
          </w:p>
        </w:tc>
        <w:tc>
          <w:tcPr>
            <w:tcW w:w="584" w:type="pct"/>
            <w:tcBorders>
              <w:top w:val="single" w:sz="4" w:space="0" w:color="auto"/>
              <w:bottom w:val="single" w:sz="4" w:space="0" w:color="auto"/>
            </w:tcBorders>
            <w:shd w:val="clear" w:color="auto" w:fill="auto"/>
          </w:tcPr>
          <w:p w14:paraId="5BA93060" w14:textId="77777777" w:rsidR="004C67B7" w:rsidRPr="00DB5740" w:rsidRDefault="005B5528" w:rsidP="004C67B7">
            <w:pPr>
              <w:jc w:val="center"/>
              <w:rPr>
                <w:szCs w:val="24"/>
              </w:rPr>
            </w:pPr>
            <w:hyperlink r:id="rId223" w:anchor="229.10" w:history="1">
              <w:r w:rsidRPr="00DB5740">
                <w:rPr>
                  <w:rStyle w:val="Hyperlink"/>
                  <w:szCs w:val="24"/>
                </w:rPr>
                <w:t>10(d)</w:t>
              </w:r>
            </w:hyperlink>
          </w:p>
        </w:tc>
        <w:tc>
          <w:tcPr>
            <w:tcW w:w="1907" w:type="pct"/>
            <w:shd w:val="clear" w:color="auto" w:fill="auto"/>
          </w:tcPr>
          <w:p w14:paraId="04B1AF7E" w14:textId="77777777" w:rsidR="004C67B7" w:rsidRPr="00DB5740" w:rsidRDefault="005B5528" w:rsidP="004C67B7">
            <w:pPr>
              <w:pStyle w:val="BodyText"/>
              <w:spacing w:after="120"/>
              <w:rPr>
                <w:b/>
              </w:rPr>
            </w:pPr>
            <w:r w:rsidRPr="00DB5740">
              <w:rPr>
                <w:b/>
              </w:rPr>
              <w:t xml:space="preserve">Elimination of Five-Year Limitation on Incorporation by Reference of </w:t>
            </w:r>
            <w:r>
              <w:rPr>
                <w:b/>
              </w:rPr>
              <w:t>EDGAR</w:t>
            </w:r>
            <w:r w:rsidRPr="00DB5740">
              <w:rPr>
                <w:b/>
              </w:rPr>
              <w:t xml:space="preserve"> Filings – </w:t>
            </w:r>
            <w:r w:rsidRPr="00DB5740">
              <w:rPr>
                <w:b/>
              </w:rPr>
              <w:t>Item 10(d)</w:t>
            </w:r>
          </w:p>
          <w:p w14:paraId="2FA6155E" w14:textId="77777777" w:rsidR="004C67B7" w:rsidRPr="00DB5740" w:rsidRDefault="005B5528" w:rsidP="004C67B7">
            <w:pPr>
              <w:pStyle w:val="BodyText"/>
              <w:spacing w:after="120"/>
            </w:pPr>
            <w:r w:rsidRPr="00DB5740">
              <w:t xml:space="preserve">Item 10(d) </w:t>
            </w:r>
            <w:r>
              <w:t xml:space="preserve">of Regulation S-K </w:t>
            </w:r>
            <w:r w:rsidRPr="00DB5740">
              <w:t xml:space="preserve">previously generally prevented a company from incorporating a document by reference if the document had been on file with the SEC for more than five years and did not fall within one of the exceptions provided.  The </w:t>
            </w:r>
            <w:r w:rsidRPr="00DB5740">
              <w:t xml:space="preserve">five-year limitation on incorporation of exhibits by reference in Item 10(d) has been deleted, eliminating the need to file </w:t>
            </w:r>
            <w:r>
              <w:t>“</w:t>
            </w:r>
            <w:r w:rsidRPr="00DB5740">
              <w:t>stale</w:t>
            </w:r>
            <w:r>
              <w:t>”</w:t>
            </w:r>
            <w:r w:rsidRPr="00DB5740">
              <w:t xml:space="preserve"> exhibits.</w:t>
            </w:r>
          </w:p>
          <w:p w14:paraId="118E9184" w14:textId="77777777" w:rsidR="004C67B7" w:rsidRPr="00DB5740" w:rsidRDefault="005B5528" w:rsidP="004C67B7">
            <w:pPr>
              <w:pStyle w:val="BodyText"/>
              <w:spacing w:after="120"/>
              <w:rPr>
                <w:bCs/>
              </w:rPr>
            </w:pPr>
            <w:r w:rsidRPr="00DB5740">
              <w:rPr>
                <w:bCs/>
              </w:rPr>
              <w:t>Confirm that the company does not plan to re-file any documents previously filed on the EDGAR system.</w:t>
            </w:r>
          </w:p>
        </w:tc>
        <w:tc>
          <w:tcPr>
            <w:tcW w:w="925" w:type="pct"/>
            <w:shd w:val="clear" w:color="auto" w:fill="auto"/>
          </w:tcPr>
          <w:p w14:paraId="25712AAE" w14:textId="77777777" w:rsidR="004C67B7" w:rsidRPr="00DB5740" w:rsidRDefault="005B5528" w:rsidP="004C67B7">
            <w:pPr>
              <w:pStyle w:val="BodyText"/>
              <w:spacing w:after="120"/>
            </w:pPr>
            <w:hyperlink r:id="rId224" w:history="1">
              <w:r>
                <w:rPr>
                  <w:rStyle w:val="Hyperlink"/>
                </w:rPr>
                <w:t>FAST Act Modernization and Simplification of Regulation S-K, Release No. 33-10618</w:t>
              </w:r>
            </w:hyperlink>
          </w:p>
          <w:p w14:paraId="017F11C2" w14:textId="77777777" w:rsidR="004C67B7" w:rsidRPr="00DB5740" w:rsidRDefault="005B5528" w:rsidP="004C67B7">
            <w:pPr>
              <w:pStyle w:val="BodyText"/>
              <w:spacing w:after="120"/>
            </w:pPr>
            <w:hyperlink r:id="rId225" w:history="1">
              <w:r w:rsidRPr="00DB5740">
                <w:rPr>
                  <w:rStyle w:val="Hyperlink"/>
                </w:rPr>
                <w:t>Disclosure Si</w:t>
              </w:r>
              <w:r w:rsidRPr="00DB5740">
                <w:rPr>
                  <w:rStyle w:val="Hyperlink"/>
                </w:rPr>
                <w:t>mplification, Round Two: A Deep Dive Into The SEC</w:t>
              </w:r>
              <w:r>
                <w:rPr>
                  <w:rStyle w:val="Hyperlink"/>
                </w:rPr>
                <w:t>’</w:t>
              </w:r>
              <w:r w:rsidRPr="00DB5740">
                <w:rPr>
                  <w:rStyle w:val="Hyperlink"/>
                </w:rPr>
                <w:t>s New Amendments</w:t>
              </w:r>
            </w:hyperlink>
          </w:p>
        </w:tc>
        <w:tc>
          <w:tcPr>
            <w:tcW w:w="585" w:type="pct"/>
            <w:tcBorders>
              <w:top w:val="single" w:sz="4" w:space="0" w:color="auto"/>
              <w:bottom w:val="single" w:sz="4" w:space="0" w:color="auto"/>
              <w:right w:val="single" w:sz="4" w:space="0" w:color="auto"/>
            </w:tcBorders>
            <w:shd w:val="clear" w:color="auto" w:fill="auto"/>
          </w:tcPr>
          <w:p w14:paraId="02D8E9F7" w14:textId="77777777" w:rsidR="004C67B7" w:rsidRPr="00DB5740" w:rsidRDefault="004C67B7" w:rsidP="004C67B7">
            <w:pPr>
              <w:rPr>
                <w:szCs w:val="24"/>
              </w:rPr>
            </w:pPr>
          </w:p>
        </w:tc>
        <w:tc>
          <w:tcPr>
            <w:tcW w:w="314" w:type="pct"/>
            <w:gridSpan w:val="2"/>
            <w:tcBorders>
              <w:top w:val="single" w:sz="4" w:space="0" w:color="auto"/>
              <w:bottom w:val="single" w:sz="4" w:space="0" w:color="auto"/>
              <w:right w:val="single" w:sz="4" w:space="0" w:color="auto"/>
            </w:tcBorders>
            <w:shd w:val="clear" w:color="auto" w:fill="auto"/>
            <w:vAlign w:val="center"/>
          </w:tcPr>
          <w:p w14:paraId="56945BD5"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1493DB13" w14:textId="77777777" w:rsidR="004C67B7" w:rsidRPr="00DB5740" w:rsidRDefault="005B5528" w:rsidP="004C67B7">
            <w:pPr>
              <w:jc w:val="center"/>
              <w:rPr>
                <w:lang w:val="en"/>
              </w:rPr>
            </w:pPr>
            <w:r w:rsidRPr="00DB5740">
              <w:t xml:space="preserve">No  </w:t>
            </w:r>
            <w:r w:rsidRPr="00DB5740">
              <w:rPr>
                <w:rFonts w:ascii="Segoe UI Symbol" w:eastAsia="MS Gothic" w:hAnsi="Segoe UI Symbol" w:cs="Segoe UI Symbol"/>
              </w:rPr>
              <w:t>☐</w:t>
            </w:r>
          </w:p>
        </w:tc>
      </w:tr>
      <w:tr w:rsidR="00000000" w14:paraId="0581CCEC"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auto"/>
          </w:tcPr>
          <w:p w14:paraId="76155579" w14:textId="77777777" w:rsidR="004C67B7" w:rsidRPr="00DB5740" w:rsidRDefault="004C67B7" w:rsidP="004C67B7">
            <w:pPr>
              <w:rPr>
                <w:color w:val="000000"/>
              </w:rPr>
            </w:pPr>
          </w:p>
        </w:tc>
        <w:tc>
          <w:tcPr>
            <w:tcW w:w="584" w:type="pct"/>
            <w:tcBorders>
              <w:top w:val="single" w:sz="4" w:space="0" w:color="auto"/>
              <w:bottom w:val="single" w:sz="4" w:space="0" w:color="auto"/>
            </w:tcBorders>
            <w:shd w:val="clear" w:color="auto" w:fill="auto"/>
          </w:tcPr>
          <w:p w14:paraId="2B7D03C3" w14:textId="77777777" w:rsidR="004C67B7" w:rsidRPr="00DB5740" w:rsidRDefault="004C67B7" w:rsidP="004C67B7">
            <w:pPr>
              <w:jc w:val="center"/>
              <w:rPr>
                <w:szCs w:val="24"/>
              </w:rPr>
            </w:pPr>
          </w:p>
        </w:tc>
        <w:tc>
          <w:tcPr>
            <w:tcW w:w="1907" w:type="pct"/>
            <w:tcBorders>
              <w:bottom w:val="single" w:sz="4" w:space="0" w:color="auto"/>
            </w:tcBorders>
            <w:shd w:val="clear" w:color="auto" w:fill="auto"/>
          </w:tcPr>
          <w:p w14:paraId="76060C9B" w14:textId="77777777" w:rsidR="004C67B7" w:rsidRPr="00DB5740" w:rsidRDefault="005B5528" w:rsidP="004C67B7">
            <w:pPr>
              <w:pStyle w:val="BodyText"/>
              <w:spacing w:after="120"/>
              <w:rPr>
                <w:b/>
              </w:rPr>
            </w:pPr>
            <w:r w:rsidRPr="00DB5740">
              <w:rPr>
                <w:b/>
              </w:rPr>
              <w:t>Scaling Errors in Public Float</w:t>
            </w:r>
          </w:p>
          <w:p w14:paraId="611E7C0F" w14:textId="77777777" w:rsidR="004C67B7" w:rsidRPr="00DB5740" w:rsidRDefault="005B5528" w:rsidP="004C67B7">
            <w:pPr>
              <w:pStyle w:val="BodyText"/>
              <w:spacing w:after="120"/>
              <w:rPr>
                <w:b/>
              </w:rPr>
            </w:pPr>
            <w:r w:rsidRPr="00DB5740">
              <w:t>According to the staff of the SEC Division of Risk, Strategy and Financial Innovation (DERA), some filers are inconsistently reporting public</w:t>
            </w:r>
            <w:r w:rsidRPr="00DB5740">
              <w:t xml:space="preserve"> float values.  For example, one filer reported a public float of $800 million in its HTML filing but reported a public float of $8 billion in its XBRL data.  Companies should carefully review their XBRL data to ensure scaling accuracy.  Furthermore, the S</w:t>
            </w:r>
            <w:r w:rsidRPr="00DB5740">
              <w:t>EC staff ha</w:t>
            </w:r>
            <w:r>
              <w:t>s</w:t>
            </w:r>
            <w:r w:rsidRPr="00DB5740">
              <w:t xml:space="preserve"> advised that companies should verify that information in their HTML filing is consistent with their XBRL data.</w:t>
            </w:r>
          </w:p>
        </w:tc>
        <w:tc>
          <w:tcPr>
            <w:tcW w:w="925" w:type="pct"/>
            <w:tcBorders>
              <w:bottom w:val="single" w:sz="4" w:space="0" w:color="auto"/>
            </w:tcBorders>
            <w:shd w:val="clear" w:color="auto" w:fill="auto"/>
          </w:tcPr>
          <w:p w14:paraId="698A3F10" w14:textId="77777777" w:rsidR="004C67B7" w:rsidRPr="00DB5740" w:rsidRDefault="005B5528" w:rsidP="004C67B7">
            <w:pPr>
              <w:pStyle w:val="BodyText"/>
              <w:spacing w:after="120"/>
            </w:pPr>
            <w:hyperlink r:id="rId226" w:history="1">
              <w:r w:rsidRPr="00DB5740">
                <w:rPr>
                  <w:rStyle w:val="Hyperlink"/>
                </w:rPr>
                <w:t>Scaling Errors in Publ</w:t>
              </w:r>
              <w:r w:rsidRPr="00DB5740">
                <w:rPr>
                  <w:rStyle w:val="Hyperlink"/>
                </w:rPr>
                <w:t>ic Float</w:t>
              </w:r>
            </w:hyperlink>
          </w:p>
          <w:p w14:paraId="77A22D10" w14:textId="77777777" w:rsidR="004C67B7" w:rsidRPr="00DB5740" w:rsidRDefault="005B5528" w:rsidP="004C67B7">
            <w:pPr>
              <w:pStyle w:val="BodyText"/>
              <w:spacing w:after="120"/>
            </w:pPr>
            <w:r w:rsidRPr="00DB5740">
              <w:rPr>
                <w:lang w:val="en"/>
              </w:rPr>
              <w:t xml:space="preserve">See </w:t>
            </w:r>
            <w:hyperlink r:id="rId227" w:history="1">
              <w:r w:rsidRPr="00DB5740">
                <w:rPr>
                  <w:rStyle w:val="Hyperlink"/>
                  <w:lang w:val="en"/>
                </w:rPr>
                <w:t>Staff Ob</w:t>
              </w:r>
              <w:bookmarkStart w:id="130" w:name="_Hlt94004422"/>
              <w:bookmarkStart w:id="131" w:name="_Hlt94004423"/>
              <w:bookmarkEnd w:id="130"/>
              <w:bookmarkEnd w:id="131"/>
              <w:r w:rsidRPr="00DB5740">
                <w:rPr>
                  <w:rStyle w:val="Hyperlink"/>
                  <w:lang w:val="en"/>
                </w:rPr>
                <w:t>servations and Guidance</w:t>
              </w:r>
            </w:hyperlink>
            <w:r w:rsidRPr="00DB5740">
              <w:rPr>
                <w:lang w:val="en"/>
              </w:rPr>
              <w:t xml:space="preserve"> for other data quality reminders</w:t>
            </w:r>
          </w:p>
        </w:tc>
        <w:tc>
          <w:tcPr>
            <w:tcW w:w="585" w:type="pct"/>
            <w:tcBorders>
              <w:top w:val="single" w:sz="4" w:space="0" w:color="auto"/>
              <w:bottom w:val="single" w:sz="4" w:space="0" w:color="auto"/>
              <w:right w:val="single" w:sz="4" w:space="0" w:color="auto"/>
            </w:tcBorders>
            <w:shd w:val="clear" w:color="auto" w:fill="auto"/>
          </w:tcPr>
          <w:p w14:paraId="23A7C05E" w14:textId="77777777" w:rsidR="004C67B7" w:rsidRPr="00DB5740" w:rsidRDefault="004C67B7" w:rsidP="004C67B7">
            <w:pPr>
              <w:rPr>
                <w:szCs w:val="24"/>
              </w:rPr>
            </w:pPr>
          </w:p>
        </w:tc>
        <w:tc>
          <w:tcPr>
            <w:tcW w:w="314" w:type="pct"/>
            <w:gridSpan w:val="2"/>
            <w:tcBorders>
              <w:top w:val="single" w:sz="4" w:space="0" w:color="auto"/>
              <w:bottom w:val="single" w:sz="4" w:space="0" w:color="auto"/>
              <w:right w:val="single" w:sz="4" w:space="0" w:color="auto"/>
            </w:tcBorders>
            <w:shd w:val="clear" w:color="auto" w:fill="auto"/>
            <w:vAlign w:val="center"/>
          </w:tcPr>
          <w:p w14:paraId="758B8BDE" w14:textId="77777777" w:rsidR="004C67B7" w:rsidRPr="00DB5740" w:rsidRDefault="004C67B7" w:rsidP="004C67B7">
            <w:pPr>
              <w:jc w:val="center"/>
              <w:rPr>
                <w:lang w:val="en"/>
              </w:rPr>
            </w:pPr>
          </w:p>
        </w:tc>
      </w:tr>
      <w:tr w:rsidR="00000000" w14:paraId="482C8779"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FFFFFF"/>
          </w:tcPr>
          <w:p w14:paraId="5F9F2438" w14:textId="77777777" w:rsidR="004C67B7" w:rsidRPr="00DB5740" w:rsidRDefault="005B5528" w:rsidP="004C67B7">
            <w:pPr>
              <w:rPr>
                <w:szCs w:val="24"/>
              </w:rPr>
            </w:pPr>
            <w:r w:rsidRPr="00DB5740">
              <w:rPr>
                <w:szCs w:val="24"/>
              </w:rPr>
              <w:lastRenderedPageBreak/>
              <w:t>Exhibits 31 and 32</w:t>
            </w:r>
          </w:p>
          <w:p w14:paraId="773D51CE" w14:textId="77777777" w:rsidR="004C67B7" w:rsidRPr="00DB5740" w:rsidRDefault="004C67B7" w:rsidP="004C67B7">
            <w:pPr>
              <w:rPr>
                <w:szCs w:val="24"/>
              </w:rPr>
            </w:pPr>
          </w:p>
          <w:p w14:paraId="06784766" w14:textId="77777777" w:rsidR="004C67B7" w:rsidRPr="00DB5740" w:rsidRDefault="004C67B7" w:rsidP="004C67B7">
            <w:pPr>
              <w:rPr>
                <w:color w:val="000000"/>
              </w:rPr>
            </w:pPr>
          </w:p>
        </w:tc>
        <w:tc>
          <w:tcPr>
            <w:tcW w:w="584" w:type="pct"/>
            <w:tcBorders>
              <w:top w:val="single" w:sz="4" w:space="0" w:color="auto"/>
              <w:bottom w:val="single" w:sz="4" w:space="0" w:color="auto"/>
            </w:tcBorders>
            <w:shd w:val="clear" w:color="auto" w:fill="FFFFFF"/>
          </w:tcPr>
          <w:p w14:paraId="4F57B566" w14:textId="77777777" w:rsidR="004C67B7" w:rsidRPr="00DB5740" w:rsidRDefault="005B5528" w:rsidP="004C67B7">
            <w:pPr>
              <w:jc w:val="center"/>
              <w:rPr>
                <w:szCs w:val="24"/>
              </w:rPr>
            </w:pPr>
            <w:hyperlink r:id="rId228" w:anchor="229.601" w:history="1">
              <w:r w:rsidRPr="00DB5740">
                <w:rPr>
                  <w:rStyle w:val="Hyperlink"/>
                </w:rPr>
                <w:t>601(</w:t>
              </w:r>
              <w:bookmarkStart w:id="132" w:name="_Hlt94004499"/>
              <w:bookmarkStart w:id="133" w:name="_Hlt94004500"/>
              <w:bookmarkEnd w:id="132"/>
              <w:bookmarkEnd w:id="133"/>
              <w:r w:rsidRPr="00DB5740">
                <w:rPr>
                  <w:rStyle w:val="Hyperlink"/>
                </w:rPr>
                <w:t>b)(31), (32)</w:t>
              </w:r>
            </w:hyperlink>
          </w:p>
        </w:tc>
        <w:tc>
          <w:tcPr>
            <w:tcW w:w="1907" w:type="pct"/>
            <w:tcBorders>
              <w:top w:val="single" w:sz="4" w:space="0" w:color="auto"/>
              <w:bottom w:val="single" w:sz="4" w:space="0" w:color="auto"/>
            </w:tcBorders>
            <w:shd w:val="clear" w:color="auto" w:fill="FFFFFF"/>
          </w:tcPr>
          <w:p w14:paraId="72D6DD5F" w14:textId="77777777" w:rsidR="004C67B7" w:rsidRPr="00DB5740" w:rsidRDefault="005B5528" w:rsidP="004C67B7">
            <w:pPr>
              <w:pStyle w:val="BodyText"/>
              <w:spacing w:after="120"/>
              <w:rPr>
                <w:b/>
                <w:bCs/>
                <w:szCs w:val="24"/>
              </w:rPr>
            </w:pPr>
            <w:r w:rsidRPr="00DB5740">
              <w:rPr>
                <w:b/>
                <w:bCs/>
                <w:szCs w:val="24"/>
              </w:rPr>
              <w:t>CEO and CFO Certifications</w:t>
            </w:r>
            <w:r>
              <w:rPr>
                <w:b/>
                <w:bCs/>
                <w:szCs w:val="24"/>
              </w:rPr>
              <w:t xml:space="preserve"> required by the Sarbanes-Oxley Act (SOX)</w:t>
            </w:r>
          </w:p>
          <w:p w14:paraId="37F7851E" w14:textId="77777777" w:rsidR="004C67B7" w:rsidRPr="00DB5740" w:rsidRDefault="005B5528" w:rsidP="004C67B7">
            <w:pPr>
              <w:pStyle w:val="BodyText"/>
              <w:spacing w:after="120"/>
              <w:rPr>
                <w:szCs w:val="24"/>
              </w:rPr>
            </w:pPr>
            <w:r w:rsidRPr="00DB5740">
              <w:rPr>
                <w:szCs w:val="24"/>
              </w:rPr>
              <w:t xml:space="preserve">The Form </w:t>
            </w:r>
            <w:r>
              <w:rPr>
                <w:szCs w:val="24"/>
              </w:rPr>
              <w:t>10</w:t>
            </w:r>
            <w:r>
              <w:rPr>
                <w:szCs w:val="24"/>
              </w:rPr>
              <w:noBreakHyphen/>
              <w:t>K</w:t>
            </w:r>
            <w:r w:rsidRPr="00DB5740">
              <w:rPr>
                <w:szCs w:val="24"/>
              </w:rPr>
              <w:t xml:space="preserve"> must include as </w:t>
            </w:r>
            <w:r>
              <w:rPr>
                <w:szCs w:val="24"/>
              </w:rPr>
              <w:t>e</w:t>
            </w:r>
            <w:r w:rsidRPr="00DB5740">
              <w:rPr>
                <w:szCs w:val="24"/>
              </w:rPr>
              <w:t>xhibi</w:t>
            </w:r>
            <w:r>
              <w:rPr>
                <w:szCs w:val="24"/>
              </w:rPr>
              <w:t>t</w:t>
            </w:r>
            <w:r w:rsidRPr="00DB5740">
              <w:rPr>
                <w:szCs w:val="24"/>
              </w:rPr>
              <w:t>s:</w:t>
            </w:r>
          </w:p>
          <w:p w14:paraId="2DBA9043" w14:textId="77777777" w:rsidR="004C67B7" w:rsidRPr="00DB5740" w:rsidRDefault="005B5528" w:rsidP="004C67B7">
            <w:pPr>
              <w:pageBreakBefore/>
              <w:numPr>
                <w:ilvl w:val="0"/>
                <w:numId w:val="15"/>
              </w:numPr>
              <w:spacing w:after="120"/>
              <w:ind w:left="421"/>
              <w:rPr>
                <w:szCs w:val="24"/>
              </w:rPr>
            </w:pPr>
            <w:r w:rsidRPr="00DB5740">
              <w:rPr>
                <w:szCs w:val="24"/>
              </w:rPr>
              <w:t>separate SOX Section 302 certifications by the CEO and CFO (Exhibit 31) in the form required by Item 601(b)(31); and</w:t>
            </w:r>
          </w:p>
          <w:p w14:paraId="693D354D" w14:textId="77777777" w:rsidR="004C67B7" w:rsidRPr="00DB5740" w:rsidRDefault="005B5528" w:rsidP="004C67B7">
            <w:pPr>
              <w:pageBreakBefore/>
              <w:numPr>
                <w:ilvl w:val="0"/>
                <w:numId w:val="15"/>
              </w:numPr>
              <w:spacing w:after="120"/>
              <w:ind w:left="421"/>
              <w:rPr>
                <w:szCs w:val="24"/>
              </w:rPr>
            </w:pPr>
            <w:r w:rsidRPr="00DB5740">
              <w:rPr>
                <w:szCs w:val="24"/>
              </w:rPr>
              <w:t>SOX Sec</w:t>
            </w:r>
            <w:r w:rsidRPr="00DB5740">
              <w:rPr>
                <w:szCs w:val="24"/>
              </w:rPr>
              <w:t xml:space="preserve">tion 906 </w:t>
            </w:r>
            <w:r w:rsidRPr="00DB5740">
              <w:t>certifications</w:t>
            </w:r>
            <w:r w:rsidRPr="00DB5740">
              <w:rPr>
                <w:szCs w:val="24"/>
              </w:rPr>
              <w:t xml:space="preserve"> by the CEO and CFO, which may be separate or joint.</w:t>
            </w:r>
          </w:p>
          <w:p w14:paraId="6C32B871" w14:textId="77777777" w:rsidR="004C67B7" w:rsidRPr="00DB5740" w:rsidRDefault="005B5528" w:rsidP="004C67B7">
            <w:pPr>
              <w:pStyle w:val="BodyText"/>
              <w:spacing w:after="120"/>
              <w:rPr>
                <w:szCs w:val="24"/>
              </w:rPr>
            </w:pPr>
            <w:r w:rsidRPr="00DB5740">
              <w:rPr>
                <w:szCs w:val="24"/>
              </w:rPr>
              <w:t xml:space="preserve">Confirm that the Form </w:t>
            </w:r>
            <w:r>
              <w:rPr>
                <w:szCs w:val="24"/>
              </w:rPr>
              <w:t>10</w:t>
            </w:r>
            <w:r>
              <w:rPr>
                <w:szCs w:val="24"/>
              </w:rPr>
              <w:noBreakHyphen/>
              <w:t>K</w:t>
            </w:r>
            <w:r w:rsidRPr="00DB5740">
              <w:rPr>
                <w:szCs w:val="24"/>
              </w:rPr>
              <w:t xml:space="preserve"> includes Exhibit 31 and Exhibit 32.</w:t>
            </w:r>
          </w:p>
          <w:p w14:paraId="70DAAF59" w14:textId="77777777" w:rsidR="004C67B7" w:rsidRPr="00DB5740" w:rsidRDefault="005B5528" w:rsidP="004C67B7">
            <w:pPr>
              <w:pStyle w:val="BodyText"/>
              <w:spacing w:after="120"/>
              <w:rPr>
                <w:szCs w:val="24"/>
              </w:rPr>
            </w:pPr>
            <w:r w:rsidRPr="00DB5740">
              <w:rPr>
                <w:szCs w:val="24"/>
              </w:rPr>
              <w:t>Confirm that Exhibit 31 satisfies SEC requirements.  The form of Exhibit 31 CEO/CFO certification is attached as an a</w:t>
            </w:r>
            <w:r w:rsidRPr="00DB5740">
              <w:rPr>
                <w:szCs w:val="24"/>
              </w:rPr>
              <w:t>ppendix.</w:t>
            </w:r>
          </w:p>
          <w:p w14:paraId="1085E38B" w14:textId="77777777" w:rsidR="004C67B7" w:rsidRPr="00DB5740" w:rsidRDefault="005B5528" w:rsidP="004C67B7">
            <w:pPr>
              <w:pStyle w:val="BodyText"/>
              <w:spacing w:after="120"/>
              <w:rPr>
                <w:bCs/>
              </w:rPr>
            </w:pPr>
            <w:r w:rsidRPr="00DB5740">
              <w:rPr>
                <w:bCs/>
              </w:rPr>
              <w:t>Confirm that Exhibit 32 is furnished rather than filed.</w:t>
            </w:r>
          </w:p>
        </w:tc>
        <w:tc>
          <w:tcPr>
            <w:tcW w:w="925" w:type="pct"/>
            <w:tcBorders>
              <w:top w:val="single" w:sz="4" w:space="0" w:color="auto"/>
              <w:bottom w:val="single" w:sz="4" w:space="0" w:color="auto"/>
            </w:tcBorders>
            <w:shd w:val="clear" w:color="auto" w:fill="FFFFFF"/>
          </w:tcPr>
          <w:p w14:paraId="7B7708DC" w14:textId="77777777" w:rsidR="004C67B7" w:rsidRPr="00DB5740" w:rsidRDefault="004C67B7" w:rsidP="004C67B7">
            <w:pPr>
              <w:pStyle w:val="BodyText"/>
              <w:spacing w:after="120"/>
            </w:pPr>
          </w:p>
        </w:tc>
        <w:tc>
          <w:tcPr>
            <w:tcW w:w="585" w:type="pct"/>
            <w:tcBorders>
              <w:top w:val="single" w:sz="4" w:space="0" w:color="auto"/>
              <w:bottom w:val="single" w:sz="4" w:space="0" w:color="auto"/>
              <w:right w:val="single" w:sz="4" w:space="0" w:color="auto"/>
            </w:tcBorders>
            <w:shd w:val="clear" w:color="auto" w:fill="FFFFFF"/>
          </w:tcPr>
          <w:p w14:paraId="209BD70F" w14:textId="77777777" w:rsidR="004C67B7" w:rsidRPr="00DB5740" w:rsidRDefault="004C67B7" w:rsidP="004C67B7">
            <w:pPr>
              <w:rPr>
                <w:szCs w:val="24"/>
              </w:rPr>
            </w:pPr>
          </w:p>
        </w:tc>
        <w:tc>
          <w:tcPr>
            <w:tcW w:w="314" w:type="pct"/>
            <w:gridSpan w:val="2"/>
            <w:tcBorders>
              <w:top w:val="single" w:sz="4" w:space="0" w:color="auto"/>
              <w:bottom w:val="single" w:sz="4" w:space="0" w:color="auto"/>
              <w:right w:val="single" w:sz="4" w:space="0" w:color="auto"/>
            </w:tcBorders>
            <w:shd w:val="clear" w:color="auto" w:fill="FFFFFF"/>
            <w:vAlign w:val="center"/>
          </w:tcPr>
          <w:p w14:paraId="15962D19"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3D4CD8F8" w14:textId="77777777" w:rsidR="004C67B7" w:rsidRPr="00DB5740" w:rsidRDefault="005B5528" w:rsidP="004C67B7">
            <w:pPr>
              <w:jc w:val="center"/>
              <w:rPr>
                <w:lang w:val="en"/>
              </w:rPr>
            </w:pPr>
            <w:r w:rsidRPr="00DB5740">
              <w:t xml:space="preserve">No  </w:t>
            </w:r>
            <w:r w:rsidRPr="00DB5740">
              <w:rPr>
                <w:rFonts w:ascii="Segoe UI Symbol" w:eastAsia="MS Gothic" w:hAnsi="Segoe UI Symbol" w:cs="Segoe UI Symbol"/>
              </w:rPr>
              <w:t>☐</w:t>
            </w:r>
          </w:p>
        </w:tc>
      </w:tr>
      <w:tr w:rsidR="00000000" w14:paraId="148FADEF" w14:textId="77777777" w:rsidTr="00BF4090">
        <w:trPr>
          <w:cantSplit/>
          <w:jc w:val="center"/>
        </w:trPr>
        <w:tc>
          <w:tcPr>
            <w:tcW w:w="685" w:type="pct"/>
            <w:tcBorders>
              <w:top w:val="single" w:sz="4" w:space="0" w:color="auto"/>
              <w:bottom w:val="single" w:sz="4" w:space="0" w:color="auto"/>
            </w:tcBorders>
            <w:shd w:val="clear" w:color="auto" w:fill="auto"/>
          </w:tcPr>
          <w:p w14:paraId="6F55FD94" w14:textId="77777777" w:rsidR="004C67B7" w:rsidRPr="00DB5740" w:rsidRDefault="005B5528" w:rsidP="004C67B7">
            <w:pPr>
              <w:autoSpaceDE w:val="0"/>
              <w:autoSpaceDN w:val="0"/>
              <w:adjustRightInd w:val="0"/>
            </w:pPr>
            <w:r w:rsidRPr="00DB5740">
              <w:t xml:space="preserve">Conflict Minerals – no specific disclosure requirement in Form </w:t>
            </w:r>
            <w:r>
              <w:t>10</w:t>
            </w:r>
            <w:r>
              <w:noBreakHyphen/>
              <w:t>K</w:t>
            </w:r>
            <w:r w:rsidRPr="00DB5740">
              <w:t>, but see notes at right</w:t>
            </w:r>
          </w:p>
        </w:tc>
        <w:tc>
          <w:tcPr>
            <w:tcW w:w="584" w:type="pct"/>
            <w:tcBorders>
              <w:top w:val="single" w:sz="4" w:space="0" w:color="auto"/>
              <w:bottom w:val="single" w:sz="4" w:space="0" w:color="auto"/>
            </w:tcBorders>
            <w:shd w:val="clear" w:color="auto" w:fill="auto"/>
          </w:tcPr>
          <w:p w14:paraId="50EE01B0" w14:textId="77777777" w:rsidR="004C67B7" w:rsidRPr="00DB5740" w:rsidRDefault="005B5528" w:rsidP="004C67B7">
            <w:pPr>
              <w:autoSpaceDE w:val="0"/>
              <w:autoSpaceDN w:val="0"/>
              <w:adjustRightInd w:val="0"/>
              <w:jc w:val="center"/>
            </w:pPr>
            <w:r w:rsidRPr="00DB5740">
              <w:t>Rule 13p-1 and Form SD</w:t>
            </w:r>
          </w:p>
        </w:tc>
        <w:tc>
          <w:tcPr>
            <w:tcW w:w="1907" w:type="pct"/>
            <w:tcBorders>
              <w:top w:val="single" w:sz="4" w:space="0" w:color="auto"/>
              <w:bottom w:val="single" w:sz="4" w:space="0" w:color="auto"/>
            </w:tcBorders>
            <w:shd w:val="clear" w:color="auto" w:fill="auto"/>
          </w:tcPr>
          <w:p w14:paraId="55C39E91" w14:textId="77777777" w:rsidR="004C67B7" w:rsidRPr="00DB5740" w:rsidRDefault="005B5528" w:rsidP="004C67B7">
            <w:pPr>
              <w:autoSpaceDE w:val="0"/>
              <w:autoSpaceDN w:val="0"/>
              <w:adjustRightInd w:val="0"/>
              <w:spacing w:after="120"/>
              <w:rPr>
                <w:b/>
                <w:bCs/>
                <w:szCs w:val="24"/>
              </w:rPr>
            </w:pPr>
            <w:r w:rsidRPr="00DB5740">
              <w:rPr>
                <w:b/>
                <w:bCs/>
                <w:szCs w:val="24"/>
              </w:rPr>
              <w:t>Conflict Minerals</w:t>
            </w:r>
          </w:p>
          <w:p w14:paraId="4CA71484" w14:textId="77777777" w:rsidR="004C67B7" w:rsidRPr="00DB5740" w:rsidRDefault="005B5528" w:rsidP="004C67B7">
            <w:pPr>
              <w:autoSpaceDE w:val="0"/>
              <w:autoSpaceDN w:val="0"/>
              <w:adjustRightInd w:val="0"/>
              <w:spacing w:after="120"/>
              <w:rPr>
                <w:szCs w:val="24"/>
              </w:rPr>
            </w:pPr>
            <w:r w:rsidRPr="00DB5740">
              <w:rPr>
                <w:szCs w:val="24"/>
              </w:rPr>
              <w:t xml:space="preserve">Companies must determine whether </w:t>
            </w:r>
            <w:r>
              <w:rPr>
                <w:szCs w:val="24"/>
              </w:rPr>
              <w:t>“</w:t>
            </w:r>
            <w:r w:rsidRPr="00DB5740">
              <w:rPr>
                <w:szCs w:val="24"/>
              </w:rPr>
              <w:t xml:space="preserve">conflict </w:t>
            </w:r>
            <w:r w:rsidRPr="00DB5740">
              <w:rPr>
                <w:szCs w:val="24"/>
              </w:rPr>
              <w:t>minerals</w:t>
            </w:r>
            <w:r>
              <w:rPr>
                <w:szCs w:val="24"/>
              </w:rPr>
              <w:t>”</w:t>
            </w:r>
            <w:r w:rsidRPr="00DB5740">
              <w:rPr>
                <w:szCs w:val="24"/>
              </w:rPr>
              <w:t xml:space="preserve"> are </w:t>
            </w:r>
            <w:r>
              <w:rPr>
                <w:szCs w:val="24"/>
              </w:rPr>
              <w:t>“</w:t>
            </w:r>
            <w:r w:rsidRPr="00DB5740">
              <w:rPr>
                <w:szCs w:val="24"/>
              </w:rPr>
              <w:t>necessary to the functionality or production</w:t>
            </w:r>
            <w:r>
              <w:rPr>
                <w:szCs w:val="24"/>
              </w:rPr>
              <w:t>”</w:t>
            </w:r>
            <w:r w:rsidRPr="00DB5740">
              <w:rPr>
                <w:szCs w:val="24"/>
              </w:rPr>
              <w:t xml:space="preserve"> of a product that the company manufactures or contracts to manufacture.</w:t>
            </w:r>
          </w:p>
          <w:p w14:paraId="40CADEC0" w14:textId="77777777" w:rsidR="004C67B7" w:rsidRPr="00DB5740" w:rsidRDefault="005B5528" w:rsidP="004C67B7">
            <w:pPr>
              <w:autoSpaceDE w:val="0"/>
              <w:autoSpaceDN w:val="0"/>
              <w:adjustRightInd w:val="0"/>
              <w:spacing w:after="120"/>
              <w:rPr>
                <w:szCs w:val="24"/>
              </w:rPr>
            </w:pPr>
            <w:r w:rsidRPr="00DB5740">
              <w:rPr>
                <w:szCs w:val="24"/>
              </w:rPr>
              <w:t>If a company determines that it is subject to these disclosure requirements, it must submit a certified Conflict Minerals R</w:t>
            </w:r>
            <w:r w:rsidRPr="00DB5740">
              <w:rPr>
                <w:szCs w:val="24"/>
              </w:rPr>
              <w:t>eport to the SEC on Form SD that includes, among other things, a description of the due diligence measures the company has taken to determine the source and chain of custody of the conflict minerals.  If a company determines that its products do not contai</w:t>
            </w:r>
            <w:r w:rsidRPr="00DB5740">
              <w:rPr>
                <w:szCs w:val="24"/>
              </w:rPr>
              <w:t>n conflict minerals, then there are no disclosure obligations under Rule 13p</w:t>
            </w:r>
            <w:r w:rsidRPr="00DB5740">
              <w:rPr>
                <w:szCs w:val="24"/>
              </w:rPr>
              <w:noBreakHyphen/>
              <w:t>1.</w:t>
            </w:r>
          </w:p>
          <w:p w14:paraId="41D03A93" w14:textId="77777777" w:rsidR="004C67B7" w:rsidRPr="00DB5740" w:rsidRDefault="005B5528" w:rsidP="004C67B7">
            <w:pPr>
              <w:autoSpaceDE w:val="0"/>
              <w:autoSpaceDN w:val="0"/>
              <w:adjustRightInd w:val="0"/>
              <w:spacing w:after="120"/>
              <w:rPr>
                <w:b/>
                <w:szCs w:val="24"/>
              </w:rPr>
            </w:pPr>
            <w:r w:rsidRPr="00DB5740">
              <w:rPr>
                <w:szCs w:val="24"/>
              </w:rPr>
              <w:t>Form SD reports cover calendar years (irrespective of the company</w:t>
            </w:r>
            <w:r>
              <w:rPr>
                <w:szCs w:val="24"/>
              </w:rPr>
              <w:t>’</w:t>
            </w:r>
            <w:r w:rsidRPr="00DB5740">
              <w:rPr>
                <w:szCs w:val="24"/>
              </w:rPr>
              <w:t>s fiscal year).  Reports for each calendar year are due on the following May 31.</w:t>
            </w:r>
          </w:p>
        </w:tc>
        <w:tc>
          <w:tcPr>
            <w:tcW w:w="925" w:type="pct"/>
            <w:tcBorders>
              <w:top w:val="single" w:sz="4" w:space="0" w:color="auto"/>
              <w:bottom w:val="single" w:sz="4" w:space="0" w:color="auto"/>
            </w:tcBorders>
            <w:shd w:val="clear" w:color="auto" w:fill="auto"/>
          </w:tcPr>
          <w:p w14:paraId="6C63F689" w14:textId="77777777" w:rsidR="004C67B7" w:rsidRPr="00DB5740" w:rsidRDefault="005B5528" w:rsidP="004C67B7">
            <w:pPr>
              <w:autoSpaceDE w:val="0"/>
              <w:autoSpaceDN w:val="0"/>
              <w:adjustRightInd w:val="0"/>
            </w:pPr>
            <w:r w:rsidRPr="00DB5740">
              <w:t>Review SEC guidance issued in</w:t>
            </w:r>
            <w:r w:rsidRPr="00DB5740">
              <w:t xml:space="preserve"> 2015 concerning compliance with Rule 13p-1:</w:t>
            </w:r>
          </w:p>
          <w:p w14:paraId="51F5DD81" w14:textId="77777777" w:rsidR="004C67B7" w:rsidRPr="00DB5740" w:rsidRDefault="004C67B7" w:rsidP="004C67B7">
            <w:pPr>
              <w:autoSpaceDE w:val="0"/>
              <w:autoSpaceDN w:val="0"/>
              <w:adjustRightInd w:val="0"/>
            </w:pPr>
          </w:p>
          <w:p w14:paraId="603F81E4" w14:textId="77777777" w:rsidR="004C67B7" w:rsidRPr="00DB5740" w:rsidRDefault="005B5528" w:rsidP="004C67B7">
            <w:pPr>
              <w:autoSpaceDE w:val="0"/>
              <w:autoSpaceDN w:val="0"/>
              <w:adjustRightInd w:val="0"/>
            </w:pPr>
            <w:hyperlink r:id="rId229" w:anchor=".U2AnVPldV8E" w:history="1">
              <w:r>
                <w:rPr>
                  <w:rStyle w:val="Hyperlink"/>
                </w:rPr>
                <w:t>Statement on the Effect of the Recent Court of Appeals Decision on the Conflict Minerals Rule</w:t>
              </w:r>
            </w:hyperlink>
          </w:p>
          <w:p w14:paraId="7F66F478" w14:textId="77777777" w:rsidR="004C67B7" w:rsidRPr="00DB5740" w:rsidRDefault="004C67B7" w:rsidP="004C67B7">
            <w:pPr>
              <w:autoSpaceDE w:val="0"/>
              <w:autoSpaceDN w:val="0"/>
              <w:adjustRightInd w:val="0"/>
            </w:pPr>
          </w:p>
          <w:p w14:paraId="2BBDAE55" w14:textId="77777777" w:rsidR="004C67B7" w:rsidRPr="00DB5740" w:rsidRDefault="005B5528" w:rsidP="004C67B7">
            <w:pPr>
              <w:autoSpaceDE w:val="0"/>
              <w:autoSpaceDN w:val="0"/>
              <w:adjustRightInd w:val="0"/>
            </w:pPr>
            <w:hyperlink r:id="rId230" w:history="1">
              <w:r>
                <w:rPr>
                  <w:rStyle w:val="Hyperlink"/>
                </w:rPr>
                <w:t>In the Matter of Exchange Act Rule 13p-1 and Form SD (Order Issuing Stay, Release No. 72079; May 2, 2014)</w:t>
              </w:r>
            </w:hyperlink>
          </w:p>
          <w:p w14:paraId="26D5CDC5" w14:textId="77777777" w:rsidR="004C67B7" w:rsidRPr="00DB5740" w:rsidRDefault="004C67B7" w:rsidP="004C67B7">
            <w:pPr>
              <w:autoSpaceDE w:val="0"/>
              <w:autoSpaceDN w:val="0"/>
              <w:adjustRightInd w:val="0"/>
            </w:pPr>
          </w:p>
          <w:p w14:paraId="7343BEB4" w14:textId="77777777" w:rsidR="004C67B7" w:rsidRPr="00DB5740" w:rsidRDefault="004C67B7" w:rsidP="004C67B7">
            <w:pPr>
              <w:pStyle w:val="BodyText"/>
            </w:pPr>
          </w:p>
        </w:tc>
        <w:tc>
          <w:tcPr>
            <w:tcW w:w="585" w:type="pct"/>
            <w:tcBorders>
              <w:top w:val="single" w:sz="4" w:space="0" w:color="auto"/>
              <w:bottom w:val="single" w:sz="4" w:space="0" w:color="auto"/>
            </w:tcBorders>
            <w:shd w:val="clear" w:color="auto" w:fill="auto"/>
          </w:tcPr>
          <w:p w14:paraId="08F7EBD1" w14:textId="77777777" w:rsidR="004C67B7" w:rsidRPr="00DB5740" w:rsidRDefault="004C67B7" w:rsidP="004C67B7">
            <w:pPr>
              <w:rPr>
                <w:szCs w:val="24"/>
              </w:rPr>
            </w:pPr>
          </w:p>
        </w:tc>
        <w:tc>
          <w:tcPr>
            <w:tcW w:w="314" w:type="pct"/>
            <w:gridSpan w:val="2"/>
            <w:tcBorders>
              <w:top w:val="single" w:sz="4" w:space="0" w:color="auto"/>
              <w:bottom w:val="single" w:sz="4" w:space="0" w:color="auto"/>
            </w:tcBorders>
            <w:shd w:val="clear" w:color="auto" w:fill="auto"/>
            <w:vAlign w:val="center"/>
          </w:tcPr>
          <w:p w14:paraId="2A1E5E1C"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6A0D1FF3" w14:textId="77777777" w:rsidR="004C67B7" w:rsidRPr="00DB5740" w:rsidRDefault="005B5528" w:rsidP="004C67B7">
            <w:pPr>
              <w:jc w:val="center"/>
              <w:rPr>
                <w:lang w:val="en"/>
              </w:rPr>
            </w:pPr>
            <w:r w:rsidRPr="00DB5740">
              <w:t xml:space="preserve">No  </w:t>
            </w:r>
            <w:r w:rsidRPr="00DB5740">
              <w:rPr>
                <w:rFonts w:ascii="Segoe UI Symbol" w:eastAsia="MS Gothic" w:hAnsi="Segoe UI Symbol" w:cs="Segoe UI Symbol"/>
              </w:rPr>
              <w:t>☐</w:t>
            </w:r>
          </w:p>
        </w:tc>
      </w:tr>
      <w:tr w:rsidR="00000000" w14:paraId="7CA2C9C7" w14:textId="77777777" w:rsidTr="00BF4090">
        <w:trPr>
          <w:cantSplit/>
          <w:jc w:val="center"/>
        </w:trPr>
        <w:tc>
          <w:tcPr>
            <w:tcW w:w="685" w:type="pct"/>
            <w:tcBorders>
              <w:top w:val="single" w:sz="4" w:space="0" w:color="auto"/>
              <w:bottom w:val="single" w:sz="4" w:space="0" w:color="auto"/>
            </w:tcBorders>
            <w:shd w:val="clear" w:color="auto" w:fill="auto"/>
          </w:tcPr>
          <w:p w14:paraId="67105894" w14:textId="77777777" w:rsidR="004C67B7" w:rsidRPr="00DB5740" w:rsidRDefault="005B5528" w:rsidP="004C67B7">
            <w:pPr>
              <w:rPr>
                <w:color w:val="000000"/>
              </w:rPr>
            </w:pPr>
            <w:r w:rsidRPr="00DB5740">
              <w:lastRenderedPageBreak/>
              <w:t>Mine safety disclosure –</w:t>
            </w:r>
            <w:r w:rsidRPr="00DB5740">
              <w:rPr>
                <w:szCs w:val="24"/>
              </w:rPr>
              <w:t>exhibit filing requirement.</w:t>
            </w:r>
          </w:p>
        </w:tc>
        <w:tc>
          <w:tcPr>
            <w:tcW w:w="584" w:type="pct"/>
            <w:tcBorders>
              <w:top w:val="single" w:sz="4" w:space="0" w:color="auto"/>
              <w:bottom w:val="single" w:sz="4" w:space="0" w:color="auto"/>
            </w:tcBorders>
            <w:shd w:val="clear" w:color="auto" w:fill="auto"/>
          </w:tcPr>
          <w:p w14:paraId="79230CCA" w14:textId="77777777" w:rsidR="004C67B7" w:rsidRPr="00DB5740" w:rsidRDefault="005B5528" w:rsidP="004C67B7">
            <w:pPr>
              <w:autoSpaceDE w:val="0"/>
              <w:autoSpaceDN w:val="0"/>
              <w:adjustRightInd w:val="0"/>
              <w:jc w:val="center"/>
              <w:rPr>
                <w:rStyle w:val="Hyperlink"/>
              </w:rPr>
            </w:pPr>
            <w:r w:rsidRPr="00DB5740">
              <w:fldChar w:fldCharType="begin"/>
            </w:r>
            <w:r w:rsidRPr="00DB5740">
              <w:instrText xml:space="preserve"> HYPERLINK "https://www.ecfr</w:instrText>
            </w:r>
            <w:r w:rsidRPr="00DB5740">
              <w:instrText xml:space="preserve">.gov/current/title-17/chapter-II/part-229" \l "229.601" </w:instrText>
            </w:r>
            <w:r w:rsidRPr="00DB5740">
              <w:fldChar w:fldCharType="separate"/>
            </w:r>
            <w:r w:rsidRPr="00DB5740">
              <w:rPr>
                <w:rStyle w:val="Hyperlink"/>
              </w:rPr>
              <w:t>Regulation S-K</w:t>
            </w:r>
          </w:p>
          <w:p w14:paraId="50AE9838" w14:textId="77777777" w:rsidR="004C67B7" w:rsidRPr="00DB5740" w:rsidRDefault="005B5528" w:rsidP="004C67B7">
            <w:pPr>
              <w:jc w:val="center"/>
              <w:rPr>
                <w:szCs w:val="24"/>
              </w:rPr>
            </w:pPr>
            <w:r w:rsidRPr="00DB5740">
              <w:rPr>
                <w:rStyle w:val="Hyperlink"/>
              </w:rPr>
              <w:t>It</w:t>
            </w:r>
            <w:r>
              <w:rPr>
                <w:rStyle w:val="Hyperlink"/>
              </w:rPr>
              <w:t>e</w:t>
            </w:r>
            <w:r w:rsidRPr="00DB5740">
              <w:rPr>
                <w:rStyle w:val="Hyperlink"/>
              </w:rPr>
              <w:t>m 601(b)(95)</w:t>
            </w:r>
            <w:r w:rsidRPr="00DB5740">
              <w:fldChar w:fldCharType="end"/>
            </w:r>
          </w:p>
        </w:tc>
        <w:tc>
          <w:tcPr>
            <w:tcW w:w="1907" w:type="pct"/>
            <w:tcBorders>
              <w:top w:val="single" w:sz="4" w:space="0" w:color="auto"/>
              <w:bottom w:val="single" w:sz="4" w:space="0" w:color="auto"/>
            </w:tcBorders>
            <w:shd w:val="clear" w:color="auto" w:fill="auto"/>
          </w:tcPr>
          <w:p w14:paraId="5512797B" w14:textId="77777777" w:rsidR="004C67B7" w:rsidRPr="00DB5740" w:rsidRDefault="005B5528" w:rsidP="004C67B7">
            <w:pPr>
              <w:pStyle w:val="BodyText"/>
              <w:spacing w:after="120"/>
              <w:rPr>
                <w:b/>
                <w:bCs/>
              </w:rPr>
            </w:pPr>
            <w:r w:rsidRPr="00DB5740">
              <w:rPr>
                <w:b/>
                <w:bCs/>
              </w:rPr>
              <w:t>Mine</w:t>
            </w:r>
            <w:r>
              <w:rPr>
                <w:b/>
                <w:bCs/>
              </w:rPr>
              <w:t xml:space="preserve"> </w:t>
            </w:r>
            <w:r w:rsidRPr="00DB5740">
              <w:rPr>
                <w:b/>
                <w:bCs/>
              </w:rPr>
              <w:t>Safet</w:t>
            </w:r>
            <w:r>
              <w:rPr>
                <w:b/>
                <w:bCs/>
              </w:rPr>
              <w:t>y</w:t>
            </w:r>
          </w:p>
          <w:p w14:paraId="40CB350E" w14:textId="77777777" w:rsidR="004C67B7" w:rsidRPr="00DB5740" w:rsidRDefault="005B5528" w:rsidP="004C67B7">
            <w:pPr>
              <w:pStyle w:val="BodyText"/>
              <w:spacing w:after="120"/>
              <w:rPr>
                <w:b/>
              </w:rPr>
            </w:pPr>
            <w:r w:rsidRPr="00DB5740">
              <w:t xml:space="preserve">Each company </w:t>
            </w:r>
            <w:r>
              <w:t>“</w:t>
            </w:r>
            <w:r w:rsidRPr="00DB5740">
              <w:t xml:space="preserve">that is an operator, or that </w:t>
            </w:r>
            <w:r>
              <w:t>h</w:t>
            </w:r>
            <w:r w:rsidRPr="00DB5740">
              <w:t>as a subsidiary that is an operator, of a coal or other mine must provide the information required by Item 104</w:t>
            </w:r>
            <w:r w:rsidRPr="00DB5740">
              <w:t xml:space="preserve"> of Regulation S-K in an exhibit to its Exchange Act annual or quarterly report</w:t>
            </w:r>
            <w:r>
              <w:t>”</w:t>
            </w:r>
            <w:r w:rsidRPr="00DB5740">
              <w:t xml:space="preserve"> (</w:t>
            </w:r>
            <w:r w:rsidRPr="00DB5740">
              <w:rPr>
                <w:i/>
              </w:rPr>
              <w:t>i.e.,</w:t>
            </w:r>
            <w:r w:rsidRPr="00DB5740">
              <w:t xml:space="preserve"> Form </w:t>
            </w:r>
            <w:r>
              <w:t>10</w:t>
            </w:r>
            <w:r>
              <w:noBreakHyphen/>
              <w:t>K</w:t>
            </w:r>
            <w:r w:rsidRPr="00DB5740">
              <w:t xml:space="preserve"> or Form 10-Q report).</w:t>
            </w:r>
          </w:p>
        </w:tc>
        <w:tc>
          <w:tcPr>
            <w:tcW w:w="925" w:type="pct"/>
            <w:tcBorders>
              <w:top w:val="single" w:sz="4" w:space="0" w:color="auto"/>
              <w:bottom w:val="single" w:sz="4" w:space="0" w:color="auto"/>
            </w:tcBorders>
            <w:shd w:val="clear" w:color="auto" w:fill="auto"/>
          </w:tcPr>
          <w:p w14:paraId="4EBF3DF7" w14:textId="77777777" w:rsidR="004C67B7" w:rsidRPr="00DB5740" w:rsidRDefault="004C67B7" w:rsidP="004C67B7">
            <w:pPr>
              <w:pStyle w:val="BodyText"/>
            </w:pPr>
          </w:p>
        </w:tc>
        <w:tc>
          <w:tcPr>
            <w:tcW w:w="585" w:type="pct"/>
            <w:tcBorders>
              <w:top w:val="single" w:sz="4" w:space="0" w:color="auto"/>
              <w:bottom w:val="single" w:sz="4" w:space="0" w:color="auto"/>
            </w:tcBorders>
            <w:shd w:val="clear" w:color="auto" w:fill="auto"/>
          </w:tcPr>
          <w:p w14:paraId="19B90B71" w14:textId="77777777" w:rsidR="004C67B7" w:rsidRPr="00DB5740" w:rsidRDefault="004C67B7" w:rsidP="004C67B7">
            <w:pPr>
              <w:rPr>
                <w:szCs w:val="24"/>
              </w:rPr>
            </w:pPr>
          </w:p>
        </w:tc>
        <w:tc>
          <w:tcPr>
            <w:tcW w:w="314" w:type="pct"/>
            <w:gridSpan w:val="2"/>
            <w:tcBorders>
              <w:top w:val="single" w:sz="4" w:space="0" w:color="auto"/>
              <w:bottom w:val="single" w:sz="4" w:space="0" w:color="auto"/>
            </w:tcBorders>
            <w:shd w:val="clear" w:color="auto" w:fill="auto"/>
            <w:vAlign w:val="center"/>
          </w:tcPr>
          <w:p w14:paraId="6AF8B84D"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62C36266" w14:textId="77777777" w:rsidR="004C67B7" w:rsidRPr="00DB5740" w:rsidRDefault="005B5528" w:rsidP="004C67B7">
            <w:pPr>
              <w:jc w:val="center"/>
              <w:rPr>
                <w:lang w:val="en"/>
              </w:rPr>
            </w:pPr>
            <w:r w:rsidRPr="00DB5740">
              <w:t xml:space="preserve">No  </w:t>
            </w:r>
            <w:r w:rsidRPr="00DB5740">
              <w:rPr>
                <w:rFonts w:ascii="Segoe UI Symbol" w:eastAsia="MS Gothic" w:hAnsi="Segoe UI Symbol" w:cs="Segoe UI Symbol"/>
              </w:rPr>
              <w:t>☐</w:t>
            </w:r>
          </w:p>
        </w:tc>
      </w:tr>
      <w:tr w:rsidR="00000000" w14:paraId="563A1304" w14:textId="77777777" w:rsidTr="008C6B68">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0C23D89F" w14:textId="77777777" w:rsidR="004C67B7" w:rsidRPr="00DB5740" w:rsidRDefault="005B5528" w:rsidP="004C67B7">
            <w:pPr>
              <w:keepNext/>
              <w:keepLines/>
              <w:spacing w:after="120"/>
              <w:rPr>
                <w:b/>
                <w:bCs/>
              </w:rPr>
            </w:pPr>
            <w:r w:rsidRPr="00DB5740">
              <w:rPr>
                <w:b/>
                <w:bCs/>
              </w:rPr>
              <w:t xml:space="preserve">Exhibits No Longer Required (Confirm Not Filed with Form </w:t>
            </w:r>
            <w:r>
              <w:rPr>
                <w:b/>
                <w:bCs/>
              </w:rPr>
              <w:t>10</w:t>
            </w:r>
            <w:r>
              <w:rPr>
                <w:b/>
                <w:bCs/>
              </w:rPr>
              <w:noBreakHyphen/>
              <w:t>K</w:t>
            </w:r>
            <w:r w:rsidRPr="00DB5740">
              <w:rPr>
                <w:b/>
                <w:bCs/>
              </w:rPr>
              <w:t>)</w:t>
            </w:r>
          </w:p>
        </w:tc>
      </w:tr>
      <w:tr w:rsidR="00000000" w14:paraId="2AE6C5C1"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auto"/>
          </w:tcPr>
          <w:p w14:paraId="0CF876B2" w14:textId="77777777" w:rsidR="004C67B7" w:rsidRPr="00DB5740" w:rsidRDefault="004C67B7" w:rsidP="004C67B7">
            <w:pPr>
              <w:rPr>
                <w:color w:val="000000"/>
              </w:rPr>
            </w:pPr>
          </w:p>
        </w:tc>
        <w:tc>
          <w:tcPr>
            <w:tcW w:w="584" w:type="pct"/>
            <w:tcBorders>
              <w:top w:val="single" w:sz="4" w:space="0" w:color="auto"/>
              <w:bottom w:val="single" w:sz="4" w:space="0" w:color="auto"/>
            </w:tcBorders>
            <w:shd w:val="clear" w:color="auto" w:fill="auto"/>
          </w:tcPr>
          <w:p w14:paraId="32EE2FE8" w14:textId="77777777" w:rsidR="004C67B7" w:rsidRPr="00DB5740" w:rsidRDefault="004C67B7" w:rsidP="004C67B7">
            <w:pPr>
              <w:jc w:val="center"/>
            </w:pPr>
          </w:p>
        </w:tc>
        <w:tc>
          <w:tcPr>
            <w:tcW w:w="1907" w:type="pct"/>
            <w:tcBorders>
              <w:top w:val="single" w:sz="4" w:space="0" w:color="auto"/>
              <w:bottom w:val="single" w:sz="4" w:space="0" w:color="auto"/>
            </w:tcBorders>
            <w:shd w:val="clear" w:color="auto" w:fill="auto"/>
          </w:tcPr>
          <w:p w14:paraId="76B09552" w14:textId="77777777" w:rsidR="004C67B7" w:rsidRPr="00DB5740" w:rsidRDefault="005B5528" w:rsidP="004C67B7">
            <w:pPr>
              <w:keepNext/>
              <w:keepLines/>
              <w:spacing w:after="120"/>
              <w:rPr>
                <w:b/>
              </w:rPr>
            </w:pPr>
            <w:r w:rsidRPr="00DB5740">
              <w:rPr>
                <w:b/>
              </w:rPr>
              <w:t>Ratio of Earnings to Fixed Charges</w:t>
            </w:r>
          </w:p>
          <w:p w14:paraId="6F5D53E9" w14:textId="77777777" w:rsidR="004C67B7" w:rsidRPr="00DB5740" w:rsidRDefault="005B5528" w:rsidP="004C67B7">
            <w:pPr>
              <w:keepNext/>
              <w:keepLines/>
              <w:spacing w:after="120"/>
            </w:pPr>
            <w:r w:rsidRPr="00DB5740">
              <w:t xml:space="preserve">SEC amendments have </w:t>
            </w:r>
            <w:r w:rsidRPr="00DB5740">
              <w:t>eliminated the requirement to file Exhibit 12 showing ratios of earnings to fixed charges and earnings to fixed charges and preferred equity dividends.</w:t>
            </w:r>
          </w:p>
          <w:p w14:paraId="6A690BDA" w14:textId="77777777" w:rsidR="004C67B7" w:rsidRPr="00DB5740" w:rsidRDefault="005B5528" w:rsidP="004C67B7">
            <w:pPr>
              <w:keepNext/>
              <w:keepLines/>
              <w:spacing w:after="120"/>
            </w:pPr>
            <w:r w:rsidRPr="00DB5740">
              <w:t xml:space="preserve">Confirm that the Form </w:t>
            </w:r>
            <w:r>
              <w:t>10</w:t>
            </w:r>
            <w:r>
              <w:noBreakHyphen/>
              <w:t>K</w:t>
            </w:r>
            <w:r w:rsidRPr="00DB5740">
              <w:t xml:space="preserve"> exhibit index does not list Exhibit 12 and that Exhibit 12 will not be filed </w:t>
            </w:r>
            <w:r w:rsidRPr="00DB5740">
              <w:t xml:space="preserve">with the Form </w:t>
            </w:r>
            <w:r>
              <w:t>10</w:t>
            </w:r>
            <w:r>
              <w:noBreakHyphen/>
              <w:t>K</w:t>
            </w:r>
            <w:r w:rsidRPr="00DB5740">
              <w:t>.</w:t>
            </w:r>
          </w:p>
        </w:tc>
        <w:tc>
          <w:tcPr>
            <w:tcW w:w="925" w:type="pct"/>
            <w:tcBorders>
              <w:top w:val="single" w:sz="4" w:space="0" w:color="auto"/>
              <w:bottom w:val="single" w:sz="4" w:space="0" w:color="auto"/>
            </w:tcBorders>
            <w:shd w:val="clear" w:color="auto" w:fill="auto"/>
          </w:tcPr>
          <w:p w14:paraId="5AF88DEC" w14:textId="77777777" w:rsidR="004C67B7" w:rsidRPr="00DB5740" w:rsidRDefault="004C67B7" w:rsidP="004C67B7"/>
        </w:tc>
        <w:tc>
          <w:tcPr>
            <w:tcW w:w="585" w:type="pct"/>
            <w:tcBorders>
              <w:top w:val="single" w:sz="4" w:space="0" w:color="auto"/>
              <w:bottom w:val="single" w:sz="4" w:space="0" w:color="auto"/>
              <w:right w:val="single" w:sz="4" w:space="0" w:color="auto"/>
            </w:tcBorders>
            <w:shd w:val="clear" w:color="auto" w:fill="auto"/>
          </w:tcPr>
          <w:p w14:paraId="0C698DE0" w14:textId="77777777" w:rsidR="004C67B7" w:rsidRPr="00DB5740" w:rsidRDefault="004C67B7" w:rsidP="004C67B7"/>
        </w:tc>
        <w:tc>
          <w:tcPr>
            <w:tcW w:w="314" w:type="pct"/>
            <w:gridSpan w:val="2"/>
            <w:tcBorders>
              <w:top w:val="single" w:sz="4" w:space="0" w:color="auto"/>
              <w:bottom w:val="single" w:sz="4" w:space="0" w:color="auto"/>
              <w:right w:val="single" w:sz="4" w:space="0" w:color="auto"/>
            </w:tcBorders>
            <w:shd w:val="clear" w:color="auto" w:fill="auto"/>
            <w:vAlign w:val="center"/>
          </w:tcPr>
          <w:p w14:paraId="48747682"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36F3328B" w14:textId="77777777" w:rsidR="004C67B7" w:rsidRPr="00DB5740" w:rsidRDefault="005B5528" w:rsidP="004C67B7">
            <w:pPr>
              <w:jc w:val="center"/>
              <w:rPr>
                <w:b/>
              </w:rPr>
            </w:pPr>
            <w:r w:rsidRPr="00DB5740">
              <w:t xml:space="preserve">No  </w:t>
            </w:r>
            <w:r w:rsidRPr="00DB5740">
              <w:rPr>
                <w:rFonts w:ascii="Segoe UI Symbol" w:eastAsia="MS Gothic" w:hAnsi="Segoe UI Symbol" w:cs="Segoe UI Symbol"/>
              </w:rPr>
              <w:t>☐</w:t>
            </w:r>
          </w:p>
        </w:tc>
      </w:tr>
      <w:tr w:rsidR="00000000" w14:paraId="3B0AF7C9" w14:textId="77777777" w:rsidTr="00BF4090">
        <w:trPr>
          <w:cantSplit/>
          <w:jc w:val="center"/>
        </w:trPr>
        <w:tc>
          <w:tcPr>
            <w:tcW w:w="685" w:type="pct"/>
            <w:tcBorders>
              <w:top w:val="single" w:sz="4" w:space="0" w:color="auto"/>
              <w:left w:val="single" w:sz="4" w:space="0" w:color="auto"/>
              <w:bottom w:val="single" w:sz="4" w:space="0" w:color="auto"/>
            </w:tcBorders>
            <w:shd w:val="clear" w:color="auto" w:fill="auto"/>
          </w:tcPr>
          <w:p w14:paraId="723D4CFC" w14:textId="77777777" w:rsidR="004C67B7" w:rsidRPr="00DB5740" w:rsidRDefault="004C67B7" w:rsidP="004C67B7"/>
          <w:p w14:paraId="34BF5184" w14:textId="77777777" w:rsidR="004C67B7" w:rsidRPr="00DB5740" w:rsidRDefault="004C67B7" w:rsidP="004C67B7"/>
        </w:tc>
        <w:tc>
          <w:tcPr>
            <w:tcW w:w="584" w:type="pct"/>
            <w:tcBorders>
              <w:top w:val="single" w:sz="4" w:space="0" w:color="auto"/>
              <w:bottom w:val="single" w:sz="4" w:space="0" w:color="auto"/>
            </w:tcBorders>
            <w:shd w:val="clear" w:color="auto" w:fill="auto"/>
          </w:tcPr>
          <w:p w14:paraId="2AA6F312" w14:textId="77777777" w:rsidR="004C67B7" w:rsidRPr="00DB5740" w:rsidRDefault="004C67B7" w:rsidP="004C67B7">
            <w:pPr>
              <w:jc w:val="center"/>
            </w:pPr>
          </w:p>
        </w:tc>
        <w:tc>
          <w:tcPr>
            <w:tcW w:w="1907" w:type="pct"/>
            <w:tcBorders>
              <w:top w:val="single" w:sz="4" w:space="0" w:color="auto"/>
              <w:bottom w:val="single" w:sz="4" w:space="0" w:color="auto"/>
            </w:tcBorders>
            <w:shd w:val="clear" w:color="auto" w:fill="FFFFFF"/>
          </w:tcPr>
          <w:p w14:paraId="61C7C344" w14:textId="77777777" w:rsidR="004C67B7" w:rsidRPr="00DB5740" w:rsidRDefault="005B5528" w:rsidP="004C67B7">
            <w:pPr>
              <w:spacing w:after="120"/>
              <w:rPr>
                <w:b/>
              </w:rPr>
            </w:pPr>
            <w:r w:rsidRPr="00DB5740">
              <w:rPr>
                <w:b/>
              </w:rPr>
              <w:t>Expiration of Rule 604T</w:t>
            </w:r>
          </w:p>
          <w:p w14:paraId="479AFDB7" w14:textId="77777777" w:rsidR="004C67B7" w:rsidRPr="00DB5740" w:rsidRDefault="005B5528" w:rsidP="004C67B7">
            <w:pPr>
              <w:spacing w:after="120"/>
            </w:pPr>
            <w:r w:rsidRPr="00DB5740">
              <w:t>The temporary rule that excluded Interactive XBRL submissions from certain liability provisions expired on October 31, 2014.</w:t>
            </w:r>
          </w:p>
          <w:p w14:paraId="2004328B" w14:textId="77777777" w:rsidR="004C67B7" w:rsidRPr="00DB5740" w:rsidRDefault="005B5528" w:rsidP="004C67B7">
            <w:pPr>
              <w:spacing w:after="120"/>
            </w:pPr>
            <w:r w:rsidRPr="00DB5740">
              <w:t xml:space="preserve">This applies to statements such as </w:t>
            </w:r>
            <w:r>
              <w:t>“</w:t>
            </w:r>
            <w:r w:rsidRPr="00DB5740">
              <w:t>[p]ursuant to Rule 406T of Regula</w:t>
            </w:r>
            <w:r w:rsidRPr="00DB5740">
              <w:t>tion S-T, these interactive data files are deemed not filed or part of a registration statement or prospectus for purposes of Section 11 or 12 of the Securities Act of 1933 or Section 18 of the</w:t>
            </w:r>
            <w:r>
              <w:t xml:space="preserve"> </w:t>
            </w:r>
            <w:r w:rsidRPr="00DB5740">
              <w:t>Exchange Act a</w:t>
            </w:r>
            <w:r>
              <w:t>n</w:t>
            </w:r>
            <w:r w:rsidRPr="00DB5740">
              <w:t>d otherwise are not subject to liability.</w:t>
            </w:r>
            <w:r>
              <w:t>”</w:t>
            </w:r>
          </w:p>
          <w:p w14:paraId="5C13C8E6" w14:textId="77777777" w:rsidR="004C67B7" w:rsidRPr="00DB5740" w:rsidRDefault="005B5528" w:rsidP="004C67B7">
            <w:pPr>
              <w:spacing w:after="120"/>
            </w:pPr>
            <w:r w:rsidRPr="00DB5740">
              <w:t>Conf</w:t>
            </w:r>
            <w:r w:rsidRPr="00DB5740">
              <w:t>irm that there is no reference to Rule 604T and/or its effects exists in the exhibit list, exhibit index or elsewhere (including footnotes) and revise or delete if necessar</w:t>
            </w:r>
            <w:r>
              <w:t>y</w:t>
            </w:r>
            <w:r w:rsidRPr="00DB5740">
              <w:t>.</w:t>
            </w:r>
          </w:p>
        </w:tc>
        <w:tc>
          <w:tcPr>
            <w:tcW w:w="925" w:type="pct"/>
            <w:tcBorders>
              <w:top w:val="single" w:sz="4" w:space="0" w:color="auto"/>
              <w:bottom w:val="single" w:sz="4" w:space="0" w:color="auto"/>
            </w:tcBorders>
            <w:shd w:val="clear" w:color="auto" w:fill="auto"/>
          </w:tcPr>
          <w:p w14:paraId="7E0F078D" w14:textId="77777777" w:rsidR="004C67B7" w:rsidRPr="00DB5740" w:rsidRDefault="005B5528" w:rsidP="004C67B7">
            <w:pPr>
              <w:rPr>
                <w:sz w:val="20"/>
              </w:rPr>
            </w:pPr>
            <w:r w:rsidRPr="00DB5740">
              <w:rPr>
                <w:sz w:val="20"/>
              </w:rPr>
              <w:t>.</w:t>
            </w:r>
          </w:p>
        </w:tc>
        <w:tc>
          <w:tcPr>
            <w:tcW w:w="585" w:type="pct"/>
            <w:tcBorders>
              <w:top w:val="single" w:sz="4" w:space="0" w:color="auto"/>
              <w:bottom w:val="single" w:sz="4" w:space="0" w:color="auto"/>
              <w:right w:val="single" w:sz="4" w:space="0" w:color="auto"/>
            </w:tcBorders>
            <w:shd w:val="clear" w:color="auto" w:fill="auto"/>
          </w:tcPr>
          <w:p w14:paraId="21A1B0EC" w14:textId="77777777" w:rsidR="004C67B7" w:rsidRPr="00DB5740" w:rsidRDefault="004C67B7" w:rsidP="004C67B7">
            <w:pPr>
              <w:rPr>
                <w:sz w:val="16"/>
                <w:szCs w:val="16"/>
              </w:rPr>
            </w:pPr>
          </w:p>
        </w:tc>
        <w:tc>
          <w:tcPr>
            <w:tcW w:w="314" w:type="pct"/>
            <w:gridSpan w:val="2"/>
            <w:tcBorders>
              <w:top w:val="single" w:sz="4" w:space="0" w:color="auto"/>
              <w:bottom w:val="single" w:sz="4" w:space="0" w:color="auto"/>
              <w:right w:val="single" w:sz="4" w:space="0" w:color="auto"/>
            </w:tcBorders>
            <w:shd w:val="clear" w:color="auto" w:fill="auto"/>
            <w:vAlign w:val="center"/>
          </w:tcPr>
          <w:p w14:paraId="530D1B96"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38E818C4"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185727AC" w14:textId="77777777" w:rsidTr="00DB5740">
        <w:trPr>
          <w:cantSplit/>
          <w:jc w:val="center"/>
        </w:trPr>
        <w:tc>
          <w:tcPr>
            <w:tcW w:w="5000" w:type="pct"/>
            <w:gridSpan w:val="7"/>
            <w:tcBorders>
              <w:top w:val="single" w:sz="4" w:space="0" w:color="auto"/>
              <w:bottom w:val="single" w:sz="4" w:space="0" w:color="auto"/>
            </w:tcBorders>
            <w:shd w:val="clear" w:color="auto" w:fill="D9D9D9"/>
          </w:tcPr>
          <w:p w14:paraId="2ED0B908" w14:textId="77777777" w:rsidR="004C67B7" w:rsidRPr="00DB5740" w:rsidRDefault="005B5528" w:rsidP="004C67B7">
            <w:pPr>
              <w:keepNext/>
              <w:keepLines/>
              <w:spacing w:after="120"/>
              <w:rPr>
                <w:b/>
                <w:bCs/>
              </w:rPr>
            </w:pPr>
            <w:r w:rsidRPr="00DB5740">
              <w:rPr>
                <w:b/>
                <w:bCs/>
              </w:rPr>
              <w:lastRenderedPageBreak/>
              <w:t xml:space="preserve">Item 16.  Form </w:t>
            </w:r>
            <w:r>
              <w:rPr>
                <w:b/>
                <w:bCs/>
              </w:rPr>
              <w:t>10</w:t>
            </w:r>
            <w:r>
              <w:rPr>
                <w:b/>
                <w:bCs/>
              </w:rPr>
              <w:noBreakHyphen/>
              <w:t>K</w:t>
            </w:r>
            <w:r w:rsidRPr="00DB5740">
              <w:rPr>
                <w:b/>
                <w:bCs/>
              </w:rPr>
              <w:t xml:space="preserve"> Summary</w:t>
            </w:r>
          </w:p>
        </w:tc>
      </w:tr>
      <w:tr w:rsidR="00000000" w14:paraId="4A6DE17F" w14:textId="77777777" w:rsidTr="00BF4090">
        <w:trPr>
          <w:cantSplit/>
          <w:jc w:val="center"/>
        </w:trPr>
        <w:tc>
          <w:tcPr>
            <w:tcW w:w="685" w:type="pct"/>
            <w:tcBorders>
              <w:top w:val="single" w:sz="4" w:space="0" w:color="auto"/>
              <w:bottom w:val="single" w:sz="4" w:space="0" w:color="auto"/>
            </w:tcBorders>
            <w:shd w:val="clear" w:color="auto" w:fill="auto"/>
          </w:tcPr>
          <w:p w14:paraId="6299BB10" w14:textId="77777777" w:rsidR="004C67B7" w:rsidRPr="00DB5740" w:rsidRDefault="005B5528" w:rsidP="004C67B7">
            <w:r w:rsidRPr="00DB5740">
              <w:t>Item 16. Form 10–K Summary</w:t>
            </w:r>
          </w:p>
        </w:tc>
        <w:tc>
          <w:tcPr>
            <w:tcW w:w="584" w:type="pct"/>
            <w:tcBorders>
              <w:top w:val="single" w:sz="4" w:space="0" w:color="auto"/>
              <w:bottom w:val="single" w:sz="4" w:space="0" w:color="auto"/>
            </w:tcBorders>
            <w:shd w:val="clear" w:color="auto" w:fill="auto"/>
          </w:tcPr>
          <w:p w14:paraId="3EAA3CE3" w14:textId="77777777" w:rsidR="004C67B7" w:rsidRPr="00DB5740" w:rsidRDefault="004C67B7" w:rsidP="004C67B7">
            <w:pPr>
              <w:jc w:val="center"/>
            </w:pPr>
          </w:p>
        </w:tc>
        <w:tc>
          <w:tcPr>
            <w:tcW w:w="1907" w:type="pct"/>
            <w:tcBorders>
              <w:top w:val="single" w:sz="4" w:space="0" w:color="auto"/>
              <w:bottom w:val="single" w:sz="4" w:space="0" w:color="auto"/>
            </w:tcBorders>
            <w:shd w:val="clear" w:color="auto" w:fill="auto"/>
          </w:tcPr>
          <w:p w14:paraId="23EEB5C5" w14:textId="77777777" w:rsidR="004C67B7" w:rsidRPr="00DB5740" w:rsidRDefault="005B5528" w:rsidP="004C67B7">
            <w:pPr>
              <w:keepNext/>
              <w:keepLines/>
              <w:spacing w:after="120"/>
            </w:pPr>
            <w:r w:rsidRPr="00DB5740">
              <w:t>The comp</w:t>
            </w:r>
            <w:r w:rsidRPr="00DB5740">
              <w:t xml:space="preserve">any may, at its option, include a summary of information required by the Form </w:t>
            </w:r>
            <w:r>
              <w:t>10</w:t>
            </w:r>
            <w:r>
              <w:noBreakHyphen/>
              <w:t>K</w:t>
            </w:r>
            <w:r w:rsidRPr="00DB5740">
              <w:t xml:space="preserve"> report.  The summary must present each item fairly and accurately and must include a hyperlink to the material contained in the Form </w:t>
            </w:r>
            <w:r>
              <w:t>10</w:t>
            </w:r>
            <w:r>
              <w:noBreakHyphen/>
              <w:t>K</w:t>
            </w:r>
            <w:r w:rsidRPr="00DB5740">
              <w:t xml:space="preserve"> report to which such item relates, </w:t>
            </w:r>
            <w:r w:rsidRPr="00DB5740">
              <w:t xml:space="preserve">including to materials contained in any exhibits filed with the Form </w:t>
            </w:r>
            <w:r>
              <w:t>10</w:t>
            </w:r>
            <w:r>
              <w:noBreakHyphen/>
              <w:t>K</w:t>
            </w:r>
            <w:r w:rsidRPr="00DB5740">
              <w:t xml:space="preserve"> report.</w:t>
            </w:r>
          </w:p>
          <w:p w14:paraId="17C01039" w14:textId="77777777" w:rsidR="004C67B7" w:rsidRPr="00DB5740" w:rsidRDefault="005B5528" w:rsidP="004C67B7">
            <w:pPr>
              <w:keepNext/>
              <w:keepLines/>
              <w:spacing w:after="120"/>
            </w:pPr>
            <w:r w:rsidRPr="00DB5740">
              <w:t xml:space="preserve">If the company does not include a summary, confirm that the Form </w:t>
            </w:r>
            <w:r>
              <w:t>10</w:t>
            </w:r>
            <w:r>
              <w:noBreakHyphen/>
              <w:t>K</w:t>
            </w:r>
            <w:r w:rsidRPr="00DB5740">
              <w:t xml:space="preserve"> includes the Item 16 caption and the statement </w:t>
            </w:r>
            <w:r>
              <w:t>“</w:t>
            </w:r>
            <w:r w:rsidRPr="00DB5740">
              <w:t>not applicable.</w:t>
            </w:r>
            <w:r>
              <w:t>”</w:t>
            </w:r>
          </w:p>
        </w:tc>
        <w:tc>
          <w:tcPr>
            <w:tcW w:w="925" w:type="pct"/>
            <w:tcBorders>
              <w:top w:val="single" w:sz="4" w:space="0" w:color="auto"/>
              <w:bottom w:val="single" w:sz="4" w:space="0" w:color="auto"/>
            </w:tcBorders>
            <w:shd w:val="clear" w:color="auto" w:fill="auto"/>
          </w:tcPr>
          <w:p w14:paraId="3E3B2363" w14:textId="77777777" w:rsidR="004C67B7" w:rsidRPr="00DB5740" w:rsidRDefault="004C67B7" w:rsidP="004C67B7">
            <w:pPr>
              <w:keepNext/>
              <w:keepLines/>
            </w:pPr>
          </w:p>
        </w:tc>
        <w:tc>
          <w:tcPr>
            <w:tcW w:w="585" w:type="pct"/>
            <w:tcBorders>
              <w:top w:val="single" w:sz="4" w:space="0" w:color="auto"/>
              <w:bottom w:val="single" w:sz="4" w:space="0" w:color="auto"/>
            </w:tcBorders>
            <w:shd w:val="clear" w:color="auto" w:fill="auto"/>
          </w:tcPr>
          <w:p w14:paraId="7DC96E25" w14:textId="77777777" w:rsidR="004C67B7" w:rsidRPr="00DB5740" w:rsidRDefault="004C67B7" w:rsidP="004C67B7">
            <w:pPr>
              <w:keepNext/>
              <w:keepLines/>
            </w:pPr>
          </w:p>
        </w:tc>
        <w:tc>
          <w:tcPr>
            <w:tcW w:w="314" w:type="pct"/>
            <w:gridSpan w:val="2"/>
            <w:tcBorders>
              <w:top w:val="single" w:sz="4" w:space="0" w:color="auto"/>
              <w:bottom w:val="single" w:sz="4" w:space="0" w:color="auto"/>
            </w:tcBorders>
            <w:shd w:val="clear" w:color="auto" w:fill="auto"/>
            <w:vAlign w:val="center"/>
          </w:tcPr>
          <w:p w14:paraId="339371D6" w14:textId="77777777" w:rsidR="004C67B7" w:rsidRPr="00DB5740" w:rsidRDefault="005B5528" w:rsidP="004C67B7">
            <w:pPr>
              <w:jc w:val="center"/>
            </w:pPr>
            <w:r w:rsidRPr="00DB5740">
              <w:t xml:space="preserve">Yes </w:t>
            </w:r>
            <w:r w:rsidRPr="00DB5740">
              <w:rPr>
                <w:rFonts w:ascii="Segoe UI Symbol" w:eastAsia="MS Gothic" w:hAnsi="Segoe UI Symbol" w:cs="Segoe UI Symbol"/>
              </w:rPr>
              <w:t>☐</w:t>
            </w:r>
          </w:p>
          <w:p w14:paraId="3A82E3E7" w14:textId="77777777" w:rsidR="004C67B7" w:rsidRPr="00DB5740" w:rsidRDefault="005B5528" w:rsidP="004C67B7">
            <w:pPr>
              <w:jc w:val="center"/>
            </w:pPr>
            <w:r w:rsidRPr="00DB5740">
              <w:t xml:space="preserve">No  </w:t>
            </w:r>
            <w:r w:rsidRPr="00DB5740">
              <w:rPr>
                <w:rFonts w:ascii="Segoe UI Symbol" w:eastAsia="MS Gothic" w:hAnsi="Segoe UI Symbol" w:cs="Segoe UI Symbol"/>
              </w:rPr>
              <w:t>☐</w:t>
            </w:r>
          </w:p>
        </w:tc>
      </w:tr>
      <w:tr w:rsidR="00000000" w14:paraId="403FC405" w14:textId="77777777" w:rsidTr="00BF4090">
        <w:trPr>
          <w:cantSplit/>
          <w:jc w:val="center"/>
        </w:trPr>
        <w:tc>
          <w:tcPr>
            <w:tcW w:w="685" w:type="pct"/>
            <w:tcBorders>
              <w:top w:val="single" w:sz="18" w:space="0" w:color="auto"/>
              <w:left w:val="single" w:sz="4" w:space="0" w:color="auto"/>
              <w:bottom w:val="single" w:sz="4" w:space="0" w:color="auto"/>
              <w:right w:val="single" w:sz="4" w:space="0" w:color="auto"/>
            </w:tcBorders>
          </w:tcPr>
          <w:p w14:paraId="74709109" w14:textId="77777777" w:rsidR="004C67B7" w:rsidRPr="00DB5740" w:rsidRDefault="005B5528" w:rsidP="004C67B7">
            <w:r w:rsidRPr="00DB5740">
              <w:t>Signature Pages</w:t>
            </w:r>
          </w:p>
          <w:p w14:paraId="1D79068D" w14:textId="77777777" w:rsidR="004C67B7" w:rsidRPr="00DB5740" w:rsidRDefault="004C67B7" w:rsidP="004C67B7"/>
          <w:p w14:paraId="46FD0180" w14:textId="77777777" w:rsidR="004C67B7" w:rsidRPr="00DB5740" w:rsidRDefault="004C67B7" w:rsidP="004C67B7">
            <w:pPr>
              <w:rPr>
                <w:color w:val="000000"/>
                <w:szCs w:val="24"/>
              </w:rPr>
            </w:pPr>
          </w:p>
        </w:tc>
        <w:tc>
          <w:tcPr>
            <w:tcW w:w="584" w:type="pct"/>
            <w:tcBorders>
              <w:top w:val="single" w:sz="18" w:space="0" w:color="auto"/>
              <w:left w:val="single" w:sz="4" w:space="0" w:color="auto"/>
              <w:bottom w:val="single" w:sz="4" w:space="0" w:color="auto"/>
              <w:right w:val="single" w:sz="4" w:space="0" w:color="auto"/>
            </w:tcBorders>
          </w:tcPr>
          <w:p w14:paraId="732F60C4" w14:textId="77777777" w:rsidR="004C67B7" w:rsidRPr="00DB5740" w:rsidRDefault="005B5528" w:rsidP="004C67B7">
            <w:r w:rsidRPr="00DB5740">
              <w:t>Genera</w:t>
            </w:r>
            <w:r w:rsidRPr="00DB5740">
              <w:t xml:space="preserve">l instruction </w:t>
            </w:r>
            <w:r>
              <w:t>D</w:t>
            </w:r>
            <w:r w:rsidRPr="00DB5740">
              <w:t xml:space="preserve"> to Form </w:t>
            </w:r>
            <w:r>
              <w:t>10</w:t>
            </w:r>
            <w:r>
              <w:noBreakHyphen/>
              <w:t>K</w:t>
            </w:r>
            <w:r w:rsidRPr="00DB5740">
              <w:t>.</w:t>
            </w:r>
          </w:p>
          <w:p w14:paraId="7BA0342A" w14:textId="77777777" w:rsidR="004C67B7" w:rsidRPr="00DB5740" w:rsidRDefault="004C67B7" w:rsidP="004C67B7">
            <w:pPr>
              <w:jc w:val="center"/>
            </w:pPr>
          </w:p>
        </w:tc>
        <w:tc>
          <w:tcPr>
            <w:tcW w:w="1907" w:type="pct"/>
            <w:tcBorders>
              <w:top w:val="single" w:sz="18" w:space="0" w:color="auto"/>
              <w:left w:val="single" w:sz="4" w:space="0" w:color="auto"/>
              <w:bottom w:val="single" w:sz="4" w:space="0" w:color="auto"/>
              <w:right w:val="single" w:sz="4" w:space="0" w:color="auto"/>
            </w:tcBorders>
          </w:tcPr>
          <w:p w14:paraId="4BFE1DED" w14:textId="77777777" w:rsidR="004C67B7" w:rsidRPr="00DB5740" w:rsidRDefault="005B5528" w:rsidP="004C67B7">
            <w:pPr>
              <w:pageBreakBefore/>
              <w:spacing w:after="120"/>
            </w:pPr>
            <w:r w:rsidRPr="00DB5740">
              <w:t xml:space="preserve">The Form </w:t>
            </w:r>
            <w:r>
              <w:t>10</w:t>
            </w:r>
            <w:r>
              <w:noBreakHyphen/>
              <w:t>K</w:t>
            </w:r>
            <w:r w:rsidRPr="00DB5740">
              <w:t xml:space="preserve"> must be signed:</w:t>
            </w:r>
          </w:p>
          <w:p w14:paraId="6ECEF1E0" w14:textId="77777777" w:rsidR="004C67B7" w:rsidRPr="00DB5740" w:rsidRDefault="005B5528" w:rsidP="004C67B7">
            <w:pPr>
              <w:pageBreakBefore/>
              <w:numPr>
                <w:ilvl w:val="0"/>
                <w:numId w:val="15"/>
              </w:numPr>
              <w:spacing w:after="120"/>
              <w:ind w:left="421"/>
            </w:pPr>
            <w:r w:rsidRPr="00DB5740">
              <w:t>on behalf of t</w:t>
            </w:r>
            <w:r>
              <w:t>h</w:t>
            </w:r>
            <w:r w:rsidRPr="00DB5740">
              <w:t>e company by an officer duly authorized to sign the report;</w:t>
            </w:r>
          </w:p>
          <w:p w14:paraId="142203FB" w14:textId="77777777" w:rsidR="004C67B7" w:rsidRPr="00DB5740" w:rsidRDefault="005B5528" w:rsidP="004C67B7">
            <w:pPr>
              <w:pageBreakBefore/>
              <w:numPr>
                <w:ilvl w:val="0"/>
                <w:numId w:val="15"/>
              </w:numPr>
              <w:spacing w:after="120"/>
              <w:ind w:left="421"/>
            </w:pPr>
            <w:r w:rsidRPr="00DB5740">
              <w:t>by the company</w:t>
            </w:r>
            <w:r>
              <w:t>’</w:t>
            </w:r>
            <w:r w:rsidRPr="00DB5740">
              <w:t>s principal executive officer;</w:t>
            </w:r>
          </w:p>
          <w:p w14:paraId="77FF7358" w14:textId="77777777" w:rsidR="004C67B7" w:rsidRPr="00DB5740" w:rsidRDefault="005B5528" w:rsidP="004C67B7">
            <w:pPr>
              <w:pageBreakBefore/>
              <w:numPr>
                <w:ilvl w:val="0"/>
                <w:numId w:val="15"/>
              </w:numPr>
              <w:spacing w:after="120"/>
              <w:ind w:left="421"/>
            </w:pPr>
            <w:r w:rsidRPr="00DB5740">
              <w:t>by the company</w:t>
            </w:r>
            <w:r>
              <w:t>’</w:t>
            </w:r>
            <w:r w:rsidRPr="00DB5740">
              <w:t>s principal financial officer;</w:t>
            </w:r>
          </w:p>
          <w:p w14:paraId="1DF8FBE5" w14:textId="77777777" w:rsidR="004C67B7" w:rsidRPr="00DB5740" w:rsidRDefault="005B5528" w:rsidP="004C67B7">
            <w:pPr>
              <w:pageBreakBefore/>
              <w:numPr>
                <w:ilvl w:val="0"/>
                <w:numId w:val="15"/>
              </w:numPr>
              <w:spacing w:after="120"/>
              <w:ind w:left="421"/>
            </w:pPr>
            <w:r w:rsidRPr="00DB5740">
              <w:t>by the company</w:t>
            </w:r>
            <w:r>
              <w:t>’</w:t>
            </w:r>
            <w:r w:rsidRPr="00DB5740">
              <w:t xml:space="preserve">s principal </w:t>
            </w:r>
            <w:r>
              <w:t>a</w:t>
            </w:r>
            <w:r>
              <w:t>ccounting</w:t>
            </w:r>
            <w:r w:rsidRPr="00DB5740">
              <w:t xml:space="preserve"> officer</w:t>
            </w:r>
            <w:r>
              <w:t xml:space="preserve"> or controller</w:t>
            </w:r>
            <w:r w:rsidRPr="00DB5740">
              <w:t>; and</w:t>
            </w:r>
          </w:p>
          <w:p w14:paraId="73E43CA8" w14:textId="77777777" w:rsidR="004C67B7" w:rsidRPr="00DB5740" w:rsidRDefault="005B5528" w:rsidP="004C67B7">
            <w:pPr>
              <w:pageBreakBefore/>
              <w:numPr>
                <w:ilvl w:val="0"/>
                <w:numId w:val="15"/>
              </w:numPr>
              <w:spacing w:after="120"/>
              <w:ind w:left="421"/>
            </w:pPr>
            <w:r w:rsidRPr="00DB5740">
              <w:t>by at least a majority of the company</w:t>
            </w:r>
            <w:r>
              <w:t>’</w:t>
            </w:r>
            <w:r w:rsidRPr="00DB5740">
              <w:t>s directors.</w:t>
            </w:r>
          </w:p>
          <w:p w14:paraId="15F7E947" w14:textId="77777777" w:rsidR="004C67B7" w:rsidRPr="00DB5740" w:rsidRDefault="005B5528" w:rsidP="004C67B7">
            <w:pPr>
              <w:pageBreakBefore/>
              <w:spacing w:after="120"/>
            </w:pPr>
            <w:r w:rsidRPr="00DB5740">
              <w:t>The name of eac</w:t>
            </w:r>
            <w:r>
              <w:t>h</w:t>
            </w:r>
            <w:r w:rsidRPr="00DB5740">
              <w:t xml:space="preserve"> person who signs the report must be typed or printed beneath the signature.</w:t>
            </w:r>
          </w:p>
        </w:tc>
        <w:tc>
          <w:tcPr>
            <w:tcW w:w="925" w:type="pct"/>
            <w:tcBorders>
              <w:top w:val="single" w:sz="18" w:space="0" w:color="auto"/>
              <w:left w:val="single" w:sz="4" w:space="0" w:color="auto"/>
              <w:bottom w:val="single" w:sz="4" w:space="0" w:color="auto"/>
              <w:right w:val="single" w:sz="4" w:space="0" w:color="auto"/>
            </w:tcBorders>
          </w:tcPr>
          <w:p w14:paraId="62BD002A" w14:textId="77777777" w:rsidR="004C67B7" w:rsidRPr="00DB5740" w:rsidRDefault="004C67B7" w:rsidP="004C67B7"/>
          <w:p w14:paraId="07BC2E04" w14:textId="77777777" w:rsidR="004C67B7" w:rsidRPr="00DB5740" w:rsidRDefault="005B5528" w:rsidP="004C67B7">
            <w:r w:rsidRPr="00DB5740">
              <w:t>Note that the CEO/CFO certifications are filed as Exhibits 31 and 32 to th</w:t>
            </w:r>
            <w:r w:rsidRPr="00DB5740">
              <w:t>e report, rather than as part of the signature page</w:t>
            </w:r>
            <w:r>
              <w:t xml:space="preserve"> and that such certifications also need to be signed</w:t>
            </w:r>
            <w:r w:rsidRPr="00DB5740">
              <w:t>.</w:t>
            </w:r>
          </w:p>
        </w:tc>
        <w:tc>
          <w:tcPr>
            <w:tcW w:w="585" w:type="pct"/>
            <w:tcBorders>
              <w:top w:val="single" w:sz="18" w:space="0" w:color="auto"/>
              <w:left w:val="single" w:sz="4" w:space="0" w:color="auto"/>
              <w:bottom w:val="single" w:sz="4" w:space="0" w:color="auto"/>
              <w:right w:val="single" w:sz="4" w:space="0" w:color="auto"/>
            </w:tcBorders>
          </w:tcPr>
          <w:p w14:paraId="593E125D" w14:textId="77777777" w:rsidR="004C67B7" w:rsidRPr="00DB5740" w:rsidRDefault="004C67B7" w:rsidP="004C67B7"/>
        </w:tc>
        <w:tc>
          <w:tcPr>
            <w:tcW w:w="314" w:type="pct"/>
            <w:gridSpan w:val="2"/>
            <w:tcBorders>
              <w:top w:val="single" w:sz="18" w:space="0" w:color="auto"/>
              <w:left w:val="single" w:sz="4" w:space="0" w:color="auto"/>
              <w:bottom w:val="single" w:sz="4" w:space="0" w:color="auto"/>
              <w:right w:val="single" w:sz="4" w:space="0" w:color="auto"/>
            </w:tcBorders>
            <w:vAlign w:val="center"/>
          </w:tcPr>
          <w:p w14:paraId="3D535B7E" w14:textId="77777777" w:rsidR="004C67B7" w:rsidRPr="00DB5740" w:rsidRDefault="005B5528" w:rsidP="004C67B7">
            <w:r w:rsidRPr="00DB5740">
              <w:t xml:space="preserve">Yes </w:t>
            </w:r>
            <w:r w:rsidRPr="00DB5740">
              <w:rPr>
                <w:rFonts w:ascii="Segoe UI Symbol" w:eastAsia="MS Gothic" w:hAnsi="Segoe UI Symbol" w:cs="Segoe UI Symbol"/>
              </w:rPr>
              <w:t>☐</w:t>
            </w:r>
          </w:p>
          <w:p w14:paraId="41E9C538" w14:textId="77777777" w:rsidR="004C67B7" w:rsidRPr="00DB5740" w:rsidRDefault="005B5528" w:rsidP="004C67B7">
            <w:r w:rsidRPr="00DB5740">
              <w:t xml:space="preserve">No  </w:t>
            </w:r>
            <w:r w:rsidRPr="00DB5740">
              <w:rPr>
                <w:rFonts w:ascii="Segoe UI Symbol" w:eastAsia="MS Gothic" w:hAnsi="Segoe UI Symbol" w:cs="Segoe UI Symbol"/>
              </w:rPr>
              <w:t>☐</w:t>
            </w:r>
          </w:p>
        </w:tc>
      </w:tr>
    </w:tbl>
    <w:p w14:paraId="694FC303" w14:textId="77777777" w:rsidR="003A4AF7" w:rsidRPr="00ED480E" w:rsidRDefault="003A4AF7">
      <w:pPr>
        <w:autoSpaceDE w:val="0"/>
        <w:autoSpaceDN w:val="0"/>
        <w:adjustRightInd w:val="0"/>
        <w:jc w:val="center"/>
        <w:rPr>
          <w:iCs/>
          <w:sz w:val="20"/>
        </w:rPr>
        <w:sectPr w:rsidR="003A4AF7" w:rsidRPr="00ED480E" w:rsidSect="00C77EAB">
          <w:headerReference w:type="first" r:id="rId231"/>
          <w:pgSz w:w="15840" w:h="12240" w:orient="landscape" w:code="1"/>
          <w:pgMar w:top="720" w:right="720" w:bottom="360" w:left="720" w:header="720" w:footer="720" w:gutter="0"/>
          <w:cols w:space="720"/>
          <w:noEndnote/>
          <w:titlePg/>
          <w:docGrid w:linePitch="326"/>
        </w:sectPr>
      </w:pPr>
    </w:p>
    <w:p w14:paraId="33F94A12" w14:textId="77777777" w:rsidR="003A4AF7" w:rsidRPr="00ED480E" w:rsidRDefault="005B5528">
      <w:pPr>
        <w:autoSpaceDE w:val="0"/>
        <w:autoSpaceDN w:val="0"/>
        <w:adjustRightInd w:val="0"/>
        <w:spacing w:before="100" w:after="100"/>
      </w:pPr>
      <w:r w:rsidRPr="00ED480E">
        <w:lastRenderedPageBreak/>
        <w:t>I, [identify the certifying individual], certify that:</w:t>
      </w:r>
    </w:p>
    <w:p w14:paraId="7D9B514D" w14:textId="77777777" w:rsidR="003A4AF7" w:rsidRPr="00ED480E" w:rsidRDefault="005B5528">
      <w:pPr>
        <w:tabs>
          <w:tab w:val="left" w:pos="720"/>
        </w:tabs>
        <w:autoSpaceDE w:val="0"/>
        <w:autoSpaceDN w:val="0"/>
        <w:adjustRightInd w:val="0"/>
        <w:spacing w:before="100" w:after="100"/>
        <w:ind w:left="720" w:hanging="720"/>
        <w:outlineLvl w:val="0"/>
      </w:pPr>
      <w:r w:rsidRPr="00ED480E">
        <w:t>1.</w:t>
      </w:r>
      <w:r w:rsidRPr="00ED480E">
        <w:tab/>
        <w:t>I have reviewed this [specify report] of [identify registrant];</w:t>
      </w:r>
    </w:p>
    <w:p w14:paraId="4A8B0317" w14:textId="77777777" w:rsidR="003A4AF7" w:rsidRPr="00ED480E" w:rsidRDefault="005B5528">
      <w:pPr>
        <w:tabs>
          <w:tab w:val="left" w:pos="720"/>
        </w:tabs>
        <w:autoSpaceDE w:val="0"/>
        <w:autoSpaceDN w:val="0"/>
        <w:adjustRightInd w:val="0"/>
        <w:spacing w:before="100" w:after="100"/>
        <w:ind w:left="720" w:hanging="720"/>
        <w:outlineLvl w:val="0"/>
      </w:pPr>
      <w:r w:rsidRPr="00ED480E">
        <w:t>2.</w:t>
      </w:r>
      <w:r w:rsidRPr="00ED480E">
        <w:tab/>
        <w:t>Based on my</w:t>
      </w:r>
      <w:r w:rsidRPr="00ED480E">
        <w:t xml:space="preserve"> knowledge, this report does not contain any untrue statement of a material fact or omit to state a material fact necessary to make the statements made, in light of the circumstances under which such statements were made, not misleading with respect to the</w:t>
      </w:r>
      <w:r w:rsidRPr="00ED480E">
        <w:t xml:space="preserve"> period covered by this report;</w:t>
      </w:r>
    </w:p>
    <w:p w14:paraId="5202569B" w14:textId="77777777" w:rsidR="003A4AF7" w:rsidRPr="00ED480E" w:rsidRDefault="005B5528">
      <w:pPr>
        <w:tabs>
          <w:tab w:val="left" w:pos="720"/>
        </w:tabs>
        <w:autoSpaceDE w:val="0"/>
        <w:autoSpaceDN w:val="0"/>
        <w:adjustRightInd w:val="0"/>
        <w:spacing w:before="100" w:after="100"/>
        <w:ind w:left="720" w:hanging="720"/>
        <w:outlineLvl w:val="0"/>
      </w:pPr>
      <w:r w:rsidRPr="00ED480E">
        <w:t>3.</w:t>
      </w:r>
      <w:r w:rsidRPr="00ED480E">
        <w:tab/>
        <w:t>Based on my knowledge, th</w:t>
      </w:r>
      <w:r w:rsidR="00F80EED">
        <w:t xml:space="preserve">e </w:t>
      </w:r>
      <w:r w:rsidRPr="00ED480E">
        <w:t>financial state</w:t>
      </w:r>
      <w:r w:rsidR="00355C54">
        <w:t>m</w:t>
      </w:r>
      <w:r w:rsidRPr="00ED480E">
        <w:t>ents, and other financial information included in this report, fairly present in all material respects the financial condition, results of operations and cash flows of the regist</w:t>
      </w:r>
      <w:r w:rsidRPr="00ED480E">
        <w:t>rant as of, and for, the periods presented in this report;</w:t>
      </w:r>
    </w:p>
    <w:p w14:paraId="3EC15C90" w14:textId="77777777" w:rsidR="003A4AF7" w:rsidRPr="00ED480E" w:rsidRDefault="005B5528">
      <w:pPr>
        <w:tabs>
          <w:tab w:val="left" w:pos="720"/>
        </w:tabs>
        <w:autoSpaceDE w:val="0"/>
        <w:autoSpaceDN w:val="0"/>
        <w:adjustRightInd w:val="0"/>
        <w:spacing w:before="100" w:after="100"/>
        <w:ind w:left="720" w:hanging="720"/>
        <w:outlineLvl w:val="0"/>
      </w:pPr>
      <w:r w:rsidRPr="00ED480E">
        <w:t>4.</w:t>
      </w:r>
      <w:r w:rsidRPr="00ED480E">
        <w:tab/>
        <w:t>The registrant</w:t>
      </w:r>
      <w:r w:rsidR="001956D9">
        <w:t>’</w:t>
      </w:r>
      <w:r w:rsidRPr="00ED480E">
        <w:t xml:space="preserve">s other certifying officer(s) and I are responsible for establishing and maintaining disclosure controls and procedures (as defined in Exchange Act Rules 13a-15(e) and 15d-15(e)) </w:t>
      </w:r>
      <w:r w:rsidRPr="00ED480E">
        <w:t>and internal control over financial reporting (as defined in Exchange Act Rules 13a-15(f) and 15d-15(f)) for the registrant and have:</w:t>
      </w:r>
    </w:p>
    <w:p w14:paraId="1B08DB81" w14:textId="77777777" w:rsidR="003A4AF7" w:rsidRPr="00ED480E" w:rsidRDefault="005B5528">
      <w:pPr>
        <w:tabs>
          <w:tab w:val="left" w:pos="720"/>
        </w:tabs>
        <w:autoSpaceDE w:val="0"/>
        <w:autoSpaceDN w:val="0"/>
        <w:adjustRightInd w:val="0"/>
        <w:spacing w:before="100" w:after="100"/>
        <w:ind w:left="1440" w:hanging="1440"/>
        <w:outlineLvl w:val="0"/>
      </w:pPr>
      <w:r w:rsidRPr="00ED480E">
        <w:tab/>
        <w:t>(a)</w:t>
      </w:r>
      <w:r w:rsidRPr="00ED480E">
        <w:tab/>
        <w:t>Designed such disclosure controls and procedures, or caused such disclosure controls and procedures to be designed un</w:t>
      </w:r>
      <w:r w:rsidRPr="00ED480E">
        <w:t>der our supervision, to ensure that material information relating to the registrant, including its consolidated subsidiaries, is made known to us by others within those entities, particularly during the period in which this report is being prepared;</w:t>
      </w:r>
    </w:p>
    <w:p w14:paraId="3DD99983" w14:textId="77777777" w:rsidR="003A4AF7" w:rsidRPr="00ED480E" w:rsidRDefault="005B5528">
      <w:pPr>
        <w:tabs>
          <w:tab w:val="left" w:pos="720"/>
        </w:tabs>
        <w:autoSpaceDE w:val="0"/>
        <w:autoSpaceDN w:val="0"/>
        <w:adjustRightInd w:val="0"/>
        <w:spacing w:before="100" w:after="100"/>
        <w:ind w:left="1440" w:hanging="1440"/>
        <w:outlineLvl w:val="0"/>
        <w:rPr>
          <w:b/>
        </w:rPr>
      </w:pPr>
      <w:r w:rsidRPr="00ED480E">
        <w:tab/>
        <w:t>(b)</w:t>
      </w:r>
      <w:r w:rsidRPr="00ED480E">
        <w:tab/>
        <w:t>D</w:t>
      </w:r>
      <w:r w:rsidRPr="00ED480E">
        <w:t>esigned such internal control over financial reporting, or caused such internal control over financial reporting to be designed under our supervision, to provide reasonable assurance regarding the reliability of financial reporting and the preparation of f</w:t>
      </w:r>
      <w:r w:rsidRPr="00ED480E">
        <w:t>inancial statements for external purposes in accordance with generally accepted accounting principles;</w:t>
      </w:r>
    </w:p>
    <w:p w14:paraId="5FE31286" w14:textId="77777777" w:rsidR="003A4AF7" w:rsidRPr="00ED480E" w:rsidRDefault="005B5528">
      <w:pPr>
        <w:tabs>
          <w:tab w:val="left" w:pos="720"/>
        </w:tabs>
        <w:autoSpaceDE w:val="0"/>
        <w:autoSpaceDN w:val="0"/>
        <w:adjustRightInd w:val="0"/>
        <w:spacing w:before="100" w:after="100"/>
        <w:ind w:left="1440" w:hanging="1440"/>
        <w:outlineLvl w:val="0"/>
      </w:pPr>
      <w:r w:rsidRPr="00ED480E">
        <w:tab/>
        <w:t>(c)</w:t>
      </w:r>
      <w:r w:rsidRPr="00ED480E">
        <w:tab/>
        <w:t>Evaluated the effectiveness of the registrant</w:t>
      </w:r>
      <w:r w:rsidR="001956D9">
        <w:t>’</w:t>
      </w:r>
      <w:r w:rsidRPr="00ED480E">
        <w:t>s disclosure controls and procedures and presented in this report our conclusions about the effectiven</w:t>
      </w:r>
      <w:r w:rsidRPr="00ED480E">
        <w:t>ess of the disclosure controls and procedures, as of the end of the period covered by this report based on such evaluation; and</w:t>
      </w:r>
    </w:p>
    <w:p w14:paraId="254A9A03" w14:textId="77777777" w:rsidR="003A4AF7" w:rsidRPr="00ED480E" w:rsidRDefault="005B5528">
      <w:pPr>
        <w:tabs>
          <w:tab w:val="left" w:pos="720"/>
        </w:tabs>
        <w:autoSpaceDE w:val="0"/>
        <w:autoSpaceDN w:val="0"/>
        <w:adjustRightInd w:val="0"/>
        <w:spacing w:before="100" w:after="100"/>
        <w:ind w:left="1440" w:hanging="1440"/>
        <w:outlineLvl w:val="0"/>
      </w:pPr>
      <w:r w:rsidRPr="00ED480E">
        <w:tab/>
        <w:t>(d)</w:t>
      </w:r>
      <w:r w:rsidRPr="00ED480E">
        <w:tab/>
        <w:t>Disclosed in this report any change in the registrant</w:t>
      </w:r>
      <w:r w:rsidR="001956D9">
        <w:t>’</w:t>
      </w:r>
      <w:r w:rsidRPr="00ED480E">
        <w:t xml:space="preserve">s internal control over financial reporting that occurred during the </w:t>
      </w:r>
      <w:r w:rsidRPr="00ED480E">
        <w:t>registrant</w:t>
      </w:r>
      <w:r w:rsidR="001956D9">
        <w:t>’</w:t>
      </w:r>
      <w:r w:rsidRPr="00ED480E">
        <w:t>s most recent fiscal quarter (the registrant</w:t>
      </w:r>
      <w:r w:rsidR="001956D9">
        <w:t>’</w:t>
      </w:r>
      <w:r w:rsidRPr="00ED480E">
        <w:t>s fourth fiscal quarter in the case of an annual report) that has materially affected, or is reasonably likely to materially affect, the registrant</w:t>
      </w:r>
      <w:r w:rsidR="001956D9">
        <w:t>’</w:t>
      </w:r>
      <w:r w:rsidRPr="00ED480E">
        <w:t>s internal control over financial reporting; and</w:t>
      </w:r>
    </w:p>
    <w:p w14:paraId="3A033E2E" w14:textId="77777777" w:rsidR="003A4AF7" w:rsidRPr="00ED480E" w:rsidRDefault="005B5528">
      <w:pPr>
        <w:tabs>
          <w:tab w:val="left" w:pos="720"/>
        </w:tabs>
        <w:autoSpaceDE w:val="0"/>
        <w:autoSpaceDN w:val="0"/>
        <w:adjustRightInd w:val="0"/>
        <w:spacing w:before="100" w:after="100"/>
        <w:ind w:left="720" w:hanging="720"/>
        <w:outlineLvl w:val="0"/>
      </w:pPr>
      <w:r w:rsidRPr="00ED480E">
        <w:t>5.</w:t>
      </w:r>
      <w:r w:rsidRPr="00ED480E">
        <w:tab/>
      </w:r>
      <w:r w:rsidRPr="00ED480E">
        <w:t>The registrant</w:t>
      </w:r>
      <w:r w:rsidR="001956D9">
        <w:t>’</w:t>
      </w:r>
      <w:r w:rsidRPr="00ED480E">
        <w:t>s other certifying officer(s) and I have disclosed, based on our most recent evaluation of internal control over financial reporting, to the registrant</w:t>
      </w:r>
      <w:r w:rsidR="001956D9">
        <w:t>’</w:t>
      </w:r>
      <w:r w:rsidRPr="00ED480E">
        <w:t>s auditors and the audit committee of the registrant</w:t>
      </w:r>
      <w:r w:rsidR="001956D9">
        <w:t>’</w:t>
      </w:r>
      <w:r w:rsidRPr="00ED480E">
        <w:t>s board of directors (or persons per</w:t>
      </w:r>
      <w:r w:rsidRPr="00ED480E">
        <w:t>forming the equivalent functions):</w:t>
      </w:r>
    </w:p>
    <w:p w14:paraId="2975436E" w14:textId="77777777" w:rsidR="003A4AF7" w:rsidRPr="00ED480E" w:rsidRDefault="005B5528">
      <w:pPr>
        <w:tabs>
          <w:tab w:val="left" w:pos="720"/>
        </w:tabs>
        <w:autoSpaceDE w:val="0"/>
        <w:autoSpaceDN w:val="0"/>
        <w:adjustRightInd w:val="0"/>
        <w:spacing w:before="100" w:after="100"/>
        <w:ind w:left="1440" w:hanging="1440"/>
        <w:outlineLvl w:val="0"/>
      </w:pPr>
      <w:r w:rsidRPr="00ED480E">
        <w:tab/>
        <w:t>(a)</w:t>
      </w:r>
      <w:r w:rsidRPr="00ED480E">
        <w:tab/>
        <w:t>All significant deficiencies and material weaknesses in the design or operation of internal control over financial reporting which are reasonably likely to adversely affect the registrant</w:t>
      </w:r>
      <w:r w:rsidR="001956D9">
        <w:t>’</w:t>
      </w:r>
      <w:r w:rsidRPr="00ED480E">
        <w:t>s ability to record, process</w:t>
      </w:r>
      <w:r w:rsidRPr="00ED480E">
        <w:t>, summarize and report financial information; and</w:t>
      </w:r>
    </w:p>
    <w:p w14:paraId="12A888D6" w14:textId="77777777" w:rsidR="003A4AF7" w:rsidRPr="00ED480E" w:rsidRDefault="005B5528">
      <w:pPr>
        <w:tabs>
          <w:tab w:val="left" w:pos="720"/>
        </w:tabs>
        <w:autoSpaceDE w:val="0"/>
        <w:autoSpaceDN w:val="0"/>
        <w:adjustRightInd w:val="0"/>
        <w:spacing w:before="100" w:after="100"/>
        <w:ind w:left="1440" w:hanging="1440"/>
        <w:outlineLvl w:val="0"/>
      </w:pPr>
      <w:r w:rsidRPr="00ED480E">
        <w:tab/>
        <w:t>(b)</w:t>
      </w:r>
      <w:r w:rsidRPr="00ED480E">
        <w:tab/>
        <w:t>Any fraud, whether or not material, that involves management or other employees who have a significant role in the registrant</w:t>
      </w:r>
      <w:r w:rsidR="001956D9">
        <w:t>’</w:t>
      </w:r>
      <w:r w:rsidRPr="00ED480E">
        <w:t>s internal control over financial reporting.</w:t>
      </w:r>
    </w:p>
    <w:p w14:paraId="66964438" w14:textId="77777777" w:rsidR="003A4AF7" w:rsidRPr="00ED480E" w:rsidRDefault="003A4AF7">
      <w:pPr>
        <w:tabs>
          <w:tab w:val="left" w:pos="360"/>
        </w:tabs>
        <w:autoSpaceDE w:val="0"/>
        <w:autoSpaceDN w:val="0"/>
        <w:adjustRightInd w:val="0"/>
        <w:spacing w:before="100" w:after="100"/>
        <w:ind w:left="720" w:hanging="720"/>
        <w:outlineLvl w:val="0"/>
      </w:pPr>
    </w:p>
    <w:p w14:paraId="2DC40750" w14:textId="77777777" w:rsidR="003A4AF7" w:rsidRPr="00ED480E" w:rsidRDefault="005B5528">
      <w:pPr>
        <w:autoSpaceDE w:val="0"/>
        <w:autoSpaceDN w:val="0"/>
        <w:adjustRightInd w:val="0"/>
        <w:spacing w:before="100" w:after="100"/>
        <w:ind w:left="5760" w:hanging="5760"/>
      </w:pPr>
      <w:r w:rsidRPr="00ED480E">
        <w:t xml:space="preserve">Date: __________________ </w:t>
      </w:r>
      <w:r w:rsidRPr="00ED480E">
        <w:tab/>
        <w:t>___</w:t>
      </w:r>
      <w:r w:rsidRPr="00ED480E">
        <w:t>____________________</w:t>
      </w:r>
      <w:r w:rsidRPr="00ED480E">
        <w:br/>
        <w:t>[Signature]</w:t>
      </w:r>
      <w:r w:rsidRPr="00ED480E">
        <w:br/>
        <w:t>[Title]</w:t>
      </w:r>
    </w:p>
    <w:p w14:paraId="54596246" w14:textId="77777777" w:rsidR="00182FF5" w:rsidRDefault="005B5528">
      <w:bookmarkStart w:id="134" w:name="_Hlk523406063"/>
      <w:bookmarkEnd w:id="1"/>
      <w:r>
        <w:rPr>
          <w:noProof/>
          <w:lang w:eastAsia="zh-CN"/>
        </w:rPr>
        <w:pict w14:anchorId="041C0BF2">
          <v:shapetype id="_x0000_t202" coordsize="21600,21600" o:spt="202" path="m,l,21600r21600,l21600,xe">
            <v:stroke joinstyle="miter"/>
            <v:path gradientshapeok="t" o:connecttype="rect"/>
          </v:shapetype>
          <v:shape id="zzmpTrailer_1079_31" o:spid="_x0000_s2049" type="#_x0000_t202" style="position:absolute;margin-left:0;margin-top:0;width:67.5pt;height:18.35pt;z-index:1;visibility:visible;mso-wrap-style:none;mso-position-horizontal-relative:margin" filled="f" stroked="f">
            <v:textbox style="mso-fit-shape-to-text:t" inset="0,0,0,0">
              <w:txbxContent>
                <w:p w14:paraId="5897AFDE" w14:textId="77777777" w:rsidR="00182FF5" w:rsidRDefault="005B5528">
                  <w:pPr>
                    <w:pStyle w:val="MacPacTrailer"/>
                  </w:pPr>
                  <w:r>
                    <w:t xml:space="preserve">ACTIVE/114529103.21 </w:t>
                  </w:r>
                </w:p>
                <w:p w14:paraId="4E42CBC9" w14:textId="77777777" w:rsidR="00182FF5" w:rsidRDefault="005B5528">
                  <w:pPr>
                    <w:pStyle w:val="MacPacTrailer"/>
                  </w:pPr>
                  <w:r>
                    <w:t xml:space="preserve">12/24/22 </w:t>
                  </w:r>
                </w:p>
              </w:txbxContent>
            </v:textbox>
            <w10:wrap anchorx="margin"/>
          </v:shape>
        </w:pict>
      </w:r>
      <w:bookmarkEnd w:id="134"/>
    </w:p>
    <w:sectPr w:rsidR="00182FF5" w:rsidSect="00C77EAB">
      <w:headerReference w:type="even" r:id="rId232"/>
      <w:headerReference w:type="default" r:id="rId233"/>
      <w:footerReference w:type="even" r:id="rId234"/>
      <w:footerReference w:type="default" r:id="rId235"/>
      <w:headerReference w:type="first" r:id="rId236"/>
      <w:footerReference w:type="first" r:id="rId237"/>
      <w:footnotePr>
        <w:numRestart w:val="eachSect"/>
      </w:footnotePr>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084B0" w14:textId="77777777" w:rsidR="005B5528" w:rsidRDefault="005B5528">
      <w:r>
        <w:separator/>
      </w:r>
    </w:p>
  </w:endnote>
  <w:endnote w:type="continuationSeparator" w:id="0">
    <w:p w14:paraId="4FAC7F7F" w14:textId="77777777" w:rsidR="005B5528" w:rsidRDefault="005B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adeGothic LT Bold">
    <w:altName w:val="Calibri"/>
    <w:charset w:val="00"/>
    <w:family w:val="auto"/>
    <w:pitch w:val="variable"/>
    <w:sig w:usb0="80000027"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7ADC" w14:textId="77777777" w:rsidR="00783EBF" w:rsidRPr="00ED480E" w:rsidRDefault="005B5528">
    <w:pPr>
      <w:pStyle w:val="Footer"/>
      <w:framePr w:wrap="around" w:vAnchor="text" w:hAnchor="margin" w:xAlign="center" w:y="1"/>
      <w:rPr>
        <w:rStyle w:val="PageNumber"/>
      </w:rPr>
    </w:pPr>
    <w:r w:rsidRPr="00ED480E">
      <w:rPr>
        <w:rStyle w:val="PageNumber"/>
      </w:rPr>
      <w:fldChar w:fldCharType="begin"/>
    </w:r>
    <w:r w:rsidRPr="00ED480E">
      <w:rPr>
        <w:rStyle w:val="PageNumber"/>
      </w:rPr>
      <w:instrText xml:space="preserve">PAGE  </w:instrText>
    </w:r>
    <w:r w:rsidRPr="00ED480E">
      <w:rPr>
        <w:rStyle w:val="PageNumber"/>
      </w:rPr>
      <w:fldChar w:fldCharType="separate"/>
    </w:r>
    <w:r w:rsidRPr="00ED480E">
      <w:rPr>
        <w:rStyle w:val="PageNumber"/>
        <w:noProof/>
      </w:rPr>
      <w:t>3</w:t>
    </w:r>
    <w:r w:rsidRPr="00ED480E">
      <w:rPr>
        <w:rStyle w:val="PageNumber"/>
      </w:rPr>
      <w:fldChar w:fldCharType="end"/>
    </w:r>
  </w:p>
  <w:p w14:paraId="462B2C27" w14:textId="77777777" w:rsidR="00783EBF" w:rsidRDefault="005B5528">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Pr>
        <w:rStyle w:val="DocID"/>
      </w:rPr>
      <w:t>ACTIVE/96753374.4</w:t>
    </w:r>
    <w:r>
      <w:rPr>
        <w:rStyle w:val="DocID"/>
      </w:rPr>
      <w:fldChar w:fldCharType="end"/>
    </w:r>
    <w:r>
      <w:rPr>
        <w:rStyle w:val="DocID"/>
      </w:rPr>
      <w:tab/>
    </w:r>
    <w:r>
      <w:rPr>
        <w:rStyle w:val="DocID"/>
      </w:rPr>
      <w:tab/>
      <w:t xml:space="preserve">DRAFT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EBBD" w14:textId="77777777" w:rsidR="00783EBF" w:rsidRDefault="005B5528" w:rsidP="004A3FF1">
    <w:pPr>
      <w:pStyle w:val="Footer"/>
      <w:jc w:val="right"/>
      <w:rPr>
        <w:rFonts w:ascii="Arial" w:hAnsi="Arial"/>
        <w:noProof/>
      </w:rPr>
    </w:pPr>
    <w:r w:rsidRPr="00075BD3">
      <w:rPr>
        <w:rFonts w:ascii="Arial" w:hAnsi="Arial"/>
      </w:rPr>
      <w:fldChar w:fldCharType="begin"/>
    </w:r>
    <w:r w:rsidRPr="00075BD3">
      <w:rPr>
        <w:rFonts w:ascii="Arial" w:hAnsi="Arial"/>
      </w:rPr>
      <w:instrText xml:space="preserve"> PAGE   \* MERGEFORMAT </w:instrText>
    </w:r>
    <w:r w:rsidRPr="00075BD3">
      <w:rPr>
        <w:rFonts w:ascii="Arial" w:hAnsi="Arial"/>
      </w:rPr>
      <w:fldChar w:fldCharType="separate"/>
    </w:r>
    <w:r>
      <w:rPr>
        <w:rFonts w:ascii="Arial" w:hAnsi="Arial"/>
        <w:noProof/>
      </w:rPr>
      <w:t>64</w:t>
    </w:r>
    <w:r w:rsidRPr="00075BD3">
      <w:rPr>
        <w:rFonts w:ascii="Arial" w:hAnsi="Arial"/>
        <w:noProof/>
      </w:rPr>
      <w:fldChar w:fldCharType="end"/>
    </w:r>
    <w:r>
      <w:rPr>
        <w:rFonts w:ascii="Arial" w:hAnsi="Arial"/>
        <w:noProof/>
      </w:rPr>
      <w:pict w14:anchorId="2E83D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87.1pt;height:19.45pt;z-index:-2;visibility:visible;mso-position-horizontal-relative:margin;mso-position-vertical-relative:text">
          <v:imagedata r:id="rId1" o:title=""/>
          <w10:wrap anchorx="margin"/>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DB97" w14:textId="77777777" w:rsidR="00783EBF" w:rsidRDefault="005B5528" w:rsidP="004A3FF1">
    <w:pPr>
      <w:pStyle w:val="Footer"/>
      <w:jc w:val="right"/>
      <w:rPr>
        <w:rFonts w:ascii="Arial" w:hAnsi="Arial"/>
        <w:noProof/>
      </w:rPr>
    </w:pPr>
    <w:r w:rsidRPr="00075BD3">
      <w:rPr>
        <w:rFonts w:ascii="Arial" w:hAnsi="Arial"/>
      </w:rPr>
      <w:fldChar w:fldCharType="begin"/>
    </w:r>
    <w:r w:rsidRPr="00075BD3">
      <w:rPr>
        <w:rFonts w:ascii="Arial" w:hAnsi="Arial"/>
      </w:rPr>
      <w:instrText xml:space="preserve"> PAGE   \* MERGEFORMAT </w:instrText>
    </w:r>
    <w:r w:rsidRPr="00075BD3">
      <w:rPr>
        <w:rFonts w:ascii="Arial" w:hAnsi="Arial"/>
      </w:rPr>
      <w:fldChar w:fldCharType="separate"/>
    </w:r>
    <w:r>
      <w:rPr>
        <w:rFonts w:ascii="Arial" w:hAnsi="Arial"/>
        <w:noProof/>
      </w:rPr>
      <w:t>1</w:t>
    </w:r>
    <w:r w:rsidRPr="00075BD3">
      <w:rPr>
        <w:rFonts w:ascii="Arial" w:hAnsi="Arial"/>
        <w:noProof/>
      </w:rPr>
      <w:fldChar w:fldCharType="end"/>
    </w:r>
    <w:r>
      <w:rPr>
        <w:rFonts w:ascii="Arial" w:hAnsi="Arial"/>
        <w:noProof/>
      </w:rPr>
      <w:pict w14:anchorId="1234A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5" o:spid="_x0000_s1028" type="#_x0000_t75" style="position:absolute;left:0;text-align:left;margin-left:0;margin-top:0;width:87.1pt;height:19.45pt;z-index:-3;visibility:visible;mso-position-horizontal-relative:margin;mso-position-vertical-relative:text">
          <v:imagedata r:id="rId1" o:title=""/>
          <w10:wrap anchorx="margin"/>
          <w10:anchorlock/>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3706" w14:textId="77777777" w:rsidR="00783EBF" w:rsidRPr="00ED480E" w:rsidRDefault="00783EBF">
    <w:pPr>
      <w:pStyle w:val="Footer"/>
    </w:pPr>
  </w:p>
  <w:p w14:paraId="34BA8692" w14:textId="77777777" w:rsidR="00783EBF" w:rsidRPr="00ED480E" w:rsidRDefault="005B5528">
    <w:pPr>
      <w:pStyle w:val="Footer"/>
    </w:pPr>
    <w:r w:rsidRPr="00ED480E">
      <w:t>LIBC/589699.16</w:t>
    </w:r>
  </w:p>
  <w:p w14:paraId="72C95B04" w14:textId="77777777" w:rsidR="00783EBF" w:rsidRDefault="005B5528">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182FF5">
      <w:rPr>
        <w:rStyle w:val="DocID"/>
      </w:rPr>
      <w:t>ACTIVE/96753374.4</w:t>
    </w:r>
    <w:r>
      <w:rPr>
        <w:rStyle w:val="DocID"/>
      </w:rPr>
      <w:fldChar w:fldCharType="end"/>
    </w:r>
    <w:r>
      <w:rPr>
        <w:rStyle w:val="DocID"/>
      </w:rPr>
      <w:tab/>
    </w:r>
    <w:r>
      <w:rPr>
        <w:rStyle w:val="DocID"/>
      </w:rPr>
      <w:tab/>
      <w:t xml:space="preserve">DRAFT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F510" w14:textId="77777777" w:rsidR="00783EBF" w:rsidRDefault="005B5528" w:rsidP="004A3FF1">
    <w:pPr>
      <w:pStyle w:val="Footer"/>
      <w:jc w:val="right"/>
      <w:rPr>
        <w:rFonts w:ascii="Arial" w:hAnsi="Arial"/>
        <w:noProof/>
      </w:rPr>
    </w:pPr>
    <w:r w:rsidRPr="00075BD3">
      <w:rPr>
        <w:rFonts w:ascii="Arial" w:hAnsi="Arial"/>
      </w:rPr>
      <w:fldChar w:fldCharType="begin"/>
    </w:r>
    <w:r w:rsidRPr="00075BD3">
      <w:rPr>
        <w:rFonts w:ascii="Arial" w:hAnsi="Arial"/>
      </w:rPr>
      <w:instrText xml:space="preserve"> PAGE   \* MERGEFORMAT </w:instrText>
    </w:r>
    <w:r w:rsidRPr="00075BD3">
      <w:rPr>
        <w:rFonts w:ascii="Arial" w:hAnsi="Arial"/>
      </w:rPr>
      <w:fldChar w:fldCharType="separate"/>
    </w:r>
    <w:r>
      <w:rPr>
        <w:rFonts w:ascii="Arial" w:hAnsi="Arial"/>
        <w:noProof/>
      </w:rPr>
      <w:t>65</w:t>
    </w:r>
    <w:r w:rsidRPr="00075BD3">
      <w:rPr>
        <w:rFonts w:ascii="Arial" w:hAnsi="Arial"/>
        <w:noProof/>
      </w:rPr>
      <w:fldChar w:fldCharType="end"/>
    </w:r>
    <w:r>
      <w:rPr>
        <w:rFonts w:ascii="Arial" w:hAnsi="Arial"/>
        <w:noProof/>
      </w:rPr>
      <w:pict w14:anchorId="5126C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0;width:87.1pt;height:19.45pt;z-index:-1;visibility:visible;mso-position-horizontal-relative:margin;mso-position-vertical-relative:text">
          <v:imagedata r:id="rId1" o:title=""/>
          <w10:wrap anchorx="margin"/>
          <w10:anchorlock/>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F285" w14:textId="77777777" w:rsidR="00783EBF" w:rsidRDefault="005B5528">
    <w:pPr>
      <w:pStyle w:val="Footer"/>
      <w:rPr>
        <w:rStyle w:val="DocID"/>
      </w:rPr>
    </w:pPr>
    <w:r>
      <w:rPr>
        <w:rStyle w:val="DocID"/>
      </w:rPr>
      <w:t>LIBC/1641320.17</w:t>
    </w:r>
  </w:p>
  <w:p w14:paraId="68DFC5EF" w14:textId="77777777" w:rsidR="00783EBF" w:rsidRDefault="005B5528">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182FF5">
      <w:rPr>
        <w:rStyle w:val="DocID"/>
      </w:rPr>
      <w:t>ACTIVE/96753374.4</w:t>
    </w:r>
    <w:r>
      <w:rPr>
        <w:rStyle w:val="DocID"/>
      </w:rPr>
      <w:fldChar w:fldCharType="end"/>
    </w:r>
    <w:r>
      <w:rPr>
        <w:rStyle w:val="DocID"/>
      </w:rPr>
      <w:tab/>
    </w:r>
    <w:r>
      <w:rPr>
        <w:rStyle w:val="DocID"/>
      </w:rPr>
      <w:tab/>
      <w:t xml:space="preserve">DRAFT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AB98A" w14:textId="77777777" w:rsidR="005B5528" w:rsidRDefault="005B5528">
      <w:r>
        <w:separator/>
      </w:r>
    </w:p>
  </w:footnote>
  <w:footnote w:type="continuationSeparator" w:id="0">
    <w:p w14:paraId="7A940CA6" w14:textId="77777777" w:rsidR="005B5528" w:rsidRDefault="005B5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Spec="center" w:tblpY="72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00"/>
    </w:tblGrid>
    <w:tr w:rsidR="00000000" w14:paraId="71E3C83A" w14:textId="77777777" w:rsidTr="00B424A2">
      <w:tc>
        <w:tcPr>
          <w:tcW w:w="5000" w:type="pct"/>
          <w:tcBorders>
            <w:top w:val="nil"/>
            <w:left w:val="nil"/>
            <w:bottom w:val="nil"/>
            <w:right w:val="nil"/>
          </w:tcBorders>
          <w:shd w:val="clear" w:color="auto" w:fill="auto"/>
          <w:tcMar>
            <w:left w:w="0" w:type="dxa"/>
          </w:tcMar>
          <w:vAlign w:val="center"/>
        </w:tcPr>
        <w:p w14:paraId="5A044BFB" w14:textId="77777777" w:rsidR="00783EBF" w:rsidRDefault="005B5528" w:rsidP="004F5C76">
          <w:pPr>
            <w:pStyle w:val="GHdrSubtitle2"/>
            <w:spacing w:before="60"/>
            <w:jc w:val="right"/>
          </w:pPr>
          <w:r>
            <w:t xml:space="preserve"> </w:t>
          </w:r>
        </w:p>
      </w:tc>
    </w:tr>
  </w:tbl>
  <w:p w14:paraId="4A85566D" w14:textId="77777777" w:rsidR="00783EBF" w:rsidRPr="00ED480E" w:rsidRDefault="005B5528" w:rsidP="004A3FF1">
    <w:pPr>
      <w:pStyle w:val="Header"/>
    </w:pPr>
    <w:r>
      <w:rPr>
        <w:noProof/>
      </w:rPr>
      <w:pict w14:anchorId="4365A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730.8pt;height:30.25pt;z-index:-5;visibility:visible;mso-position-horizontal:center;mso-position-horizontal-relative:page;mso-position-vertical-relative:text;mso-width-relative:margin;mso-height-relative:margin">
          <v:imagedata r:id="rId1" o:title=""/>
          <o:lock v:ext="edit" aspectratio="f"/>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3AB9" w14:textId="77777777" w:rsidR="00783EBF" w:rsidRPr="00ED480E" w:rsidRDefault="005B5528" w:rsidP="004A3FF1">
    <w:pPr>
      <w:pStyle w:val="Header"/>
    </w:pPr>
    <w:r>
      <w:pict w14:anchorId="6F9DCD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9.5pt;height:105pt">
          <v:imagedata r:id="rId1" o:title="1st Page Header - landscape"/>
        </v:shape>
      </w:pict>
    </w:r>
  </w:p>
  <w:tbl>
    <w:tblPr>
      <w:tblpPr w:vertAnchor="page" w:horzAnchor="page" w:tblpXSpec="center" w:tblpYSpec="top"/>
      <w:tblOverlap w:val="neve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00"/>
    </w:tblGrid>
    <w:tr w:rsidR="00000000" w14:paraId="7CD2E503" w14:textId="77777777" w:rsidTr="00B424A2">
      <w:trPr>
        <w:trHeight w:val="1980"/>
      </w:trPr>
      <w:tc>
        <w:tcPr>
          <w:tcW w:w="5000" w:type="pct"/>
          <w:tcBorders>
            <w:top w:val="nil"/>
            <w:left w:val="nil"/>
            <w:bottom w:val="nil"/>
            <w:right w:val="nil"/>
          </w:tcBorders>
          <w:shd w:val="clear" w:color="auto" w:fill="auto"/>
          <w:vAlign w:val="bottom"/>
        </w:tcPr>
        <w:p w14:paraId="018F9850" w14:textId="77777777" w:rsidR="00783EBF" w:rsidRPr="00213E5F" w:rsidRDefault="005B5528" w:rsidP="00094C59">
          <w:pPr>
            <w:pStyle w:val="Heading1"/>
            <w:spacing w:before="0" w:after="0"/>
            <w:ind w:left="1440"/>
            <w:jc w:val="right"/>
            <w:rPr>
              <w:rFonts w:ascii="Arial Bold" w:hAnsi="Arial Bold"/>
              <w:caps/>
              <w:color w:val="FFFFFF"/>
              <w:sz w:val="48"/>
              <w:szCs w:val="48"/>
              <w:u w:val="none"/>
            </w:rPr>
          </w:pPr>
          <w:r w:rsidRPr="00213E5F">
            <w:rPr>
              <w:rFonts w:ascii="Arial Bold" w:hAnsi="Arial Bold"/>
              <w:caps/>
              <w:color w:val="FFFFFF"/>
              <w:sz w:val="48"/>
              <w:szCs w:val="48"/>
            </w:rPr>
            <w:br/>
          </w:r>
        </w:p>
      </w:tc>
    </w:tr>
    <w:tr w:rsidR="00000000" w14:paraId="7F239DF9" w14:textId="77777777" w:rsidTr="00B424A2">
      <w:trPr>
        <w:trHeight w:val="783"/>
      </w:trPr>
      <w:tc>
        <w:tcPr>
          <w:tcW w:w="5000" w:type="pct"/>
          <w:tcBorders>
            <w:top w:val="nil"/>
            <w:left w:val="nil"/>
            <w:bottom w:val="nil"/>
            <w:right w:val="nil"/>
          </w:tcBorders>
          <w:shd w:val="clear" w:color="auto" w:fill="auto"/>
          <w:vAlign w:val="bottom"/>
        </w:tcPr>
        <w:p w14:paraId="41A8ADE2" w14:textId="77777777" w:rsidR="00783EBF" w:rsidRPr="00213E5F" w:rsidRDefault="005B5528" w:rsidP="004F5C76">
          <w:pPr>
            <w:pStyle w:val="HeadingSubtitle-TOC2"/>
            <w:spacing w:before="0" w:after="240"/>
            <w:jc w:val="right"/>
            <w:rPr>
              <w:sz w:val="32"/>
              <w:szCs w:val="32"/>
            </w:rPr>
          </w:pPr>
          <w:r>
            <w:rPr>
              <w:sz w:val="32"/>
              <w:szCs w:val="32"/>
            </w:rPr>
            <w:t>202</w:t>
          </w:r>
          <w:r w:rsidR="00082460">
            <w:rPr>
              <w:sz w:val="32"/>
              <w:szCs w:val="32"/>
            </w:rPr>
            <w:t>2</w:t>
          </w:r>
          <w:r>
            <w:rPr>
              <w:sz w:val="32"/>
              <w:szCs w:val="32"/>
            </w:rPr>
            <w:t xml:space="preserve"> YEAR-END REPORTING</w:t>
          </w:r>
        </w:p>
      </w:tc>
    </w:tr>
  </w:tbl>
  <w:p w14:paraId="147068B9" w14:textId="77777777" w:rsidR="00783EBF" w:rsidRPr="00ED480E" w:rsidRDefault="00783EBF" w:rsidP="004A3F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99D7" w14:textId="77777777" w:rsidR="00783EBF" w:rsidRPr="00ED480E" w:rsidRDefault="005B5528" w:rsidP="004A3FF1">
    <w:pPr>
      <w:pStyle w:val="Header"/>
    </w:pPr>
    <w:r>
      <w:rPr>
        <w:noProof/>
      </w:rPr>
      <w:pict w14:anchorId="09E66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margin-left:0;margin-top:0;width:730.8pt;height:30.25pt;z-index:-6;visibility:visible;mso-position-horizontal:center;mso-position-horizontal-relative:page;mso-width-relative:margin;mso-height-relative:margin">
          <v:imagedata r:id="rId1" o:title=""/>
          <o:lock v:ext="edit" aspectratio="f"/>
          <w10:wrap anchorx="page"/>
        </v:shape>
      </w:pict>
    </w:r>
  </w:p>
  <w:tbl>
    <w:tblPr>
      <w:tblpPr w:vertAnchor="page" w:horzAnchor="page" w:tblpXSpec="center" w:tblpY="72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00"/>
    </w:tblGrid>
    <w:tr w:rsidR="00000000" w14:paraId="57BCF8CB" w14:textId="77777777" w:rsidTr="00B424A2">
      <w:tc>
        <w:tcPr>
          <w:tcW w:w="5000" w:type="pct"/>
          <w:tcBorders>
            <w:top w:val="nil"/>
            <w:left w:val="nil"/>
            <w:bottom w:val="nil"/>
            <w:right w:val="nil"/>
          </w:tcBorders>
          <w:shd w:val="clear" w:color="auto" w:fill="auto"/>
          <w:tcMar>
            <w:left w:w="0" w:type="dxa"/>
          </w:tcMar>
          <w:vAlign w:val="center"/>
        </w:tcPr>
        <w:p w14:paraId="7D5F9AA7" w14:textId="77777777" w:rsidR="00783EBF" w:rsidRDefault="00783EBF" w:rsidP="004F5C76">
          <w:pPr>
            <w:pStyle w:val="GHdrSubtitle2"/>
            <w:spacing w:before="60"/>
            <w:jc w:val="right"/>
          </w:pPr>
        </w:p>
      </w:tc>
    </w:tr>
  </w:tbl>
  <w:p w14:paraId="07A174F7" w14:textId="77777777" w:rsidR="00783EBF" w:rsidRPr="00ED480E" w:rsidRDefault="00783EBF" w:rsidP="004A3F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9D389" w14:textId="77777777" w:rsidR="00783EBF" w:rsidRPr="00ED480E" w:rsidRDefault="00783E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8B48" w14:textId="77777777" w:rsidR="00783EBF" w:rsidRPr="00075BD3" w:rsidRDefault="005B5528" w:rsidP="004A3FF1">
    <w:pPr>
      <w:pStyle w:val="Header"/>
      <w:rPr>
        <w:iCs/>
      </w:rPr>
    </w:pPr>
    <w:r>
      <w:rPr>
        <w:noProof/>
      </w:rPr>
      <w:pict w14:anchorId="670F4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2" o:spid="_x0000_s1030" type="#_x0000_t75" style="position:absolute;margin-left:0;margin-top:21.6pt;width:568.1pt;height:104.4pt;z-index:-4;visibility:visible;mso-position-horizontal:center;mso-position-horizontal-relative:page;mso-position-vertical-relative:page" o:allowoverlap="f">
          <v:imagedata r:id="rId1" o:title=""/>
          <w10:wrap anchorx="page" anchory="page"/>
          <w10:anchorlock/>
        </v:shape>
      </w:pict>
    </w:r>
  </w:p>
  <w:tbl>
    <w:tblPr>
      <w:tblpPr w:vertAnchor="page" w:horzAnchor="page" w:tblpXSpec="center" w:tblpYSpec="top"/>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00"/>
    </w:tblGrid>
    <w:tr w:rsidR="00000000" w14:paraId="2ED73C16" w14:textId="77777777" w:rsidTr="00B424A2">
      <w:tc>
        <w:tcPr>
          <w:tcW w:w="5000" w:type="pct"/>
          <w:tcBorders>
            <w:top w:val="nil"/>
            <w:left w:val="nil"/>
            <w:bottom w:val="nil"/>
            <w:right w:val="nil"/>
          </w:tcBorders>
          <w:shd w:val="clear" w:color="auto" w:fill="auto"/>
        </w:tcPr>
        <w:p w14:paraId="5D0F4BAE" w14:textId="77777777" w:rsidR="00783EBF" w:rsidRPr="009D6DAE" w:rsidRDefault="005B5528" w:rsidP="004A3FF1">
          <w:pPr>
            <w:pStyle w:val="Heading1"/>
            <w:spacing w:before="520" w:after="200"/>
            <w:jc w:val="right"/>
            <w:rPr>
              <w:rFonts w:ascii="Arial Bold" w:hAnsi="Arial Bold"/>
              <w:caps/>
              <w:color w:val="FFFFFF"/>
              <w:sz w:val="44"/>
              <w:u w:val="none"/>
            </w:rPr>
          </w:pPr>
          <w:r w:rsidRPr="009D6DAE">
            <w:rPr>
              <w:rFonts w:ascii="Arial Bold" w:hAnsi="Arial Bold"/>
              <w:caps/>
              <w:color w:val="FFFFFF"/>
              <w:sz w:val="44"/>
              <w:u w:val="none"/>
            </w:rPr>
            <w:br/>
          </w:r>
        </w:p>
      </w:tc>
    </w:tr>
    <w:tr w:rsidR="00000000" w14:paraId="45DB40AF" w14:textId="77777777" w:rsidTr="00B424A2">
      <w:trPr>
        <w:trHeight w:val="783"/>
      </w:trPr>
      <w:tc>
        <w:tcPr>
          <w:tcW w:w="5000" w:type="pct"/>
          <w:tcBorders>
            <w:top w:val="nil"/>
            <w:left w:val="nil"/>
            <w:bottom w:val="nil"/>
            <w:right w:val="nil"/>
          </w:tcBorders>
          <w:shd w:val="clear" w:color="auto" w:fill="auto"/>
        </w:tcPr>
        <w:p w14:paraId="1228E4B9" w14:textId="77777777" w:rsidR="00783EBF" w:rsidRPr="00451F36" w:rsidRDefault="005B5528" w:rsidP="004F5C76">
          <w:pPr>
            <w:pStyle w:val="HeadingSubtitle-TOC2"/>
            <w:spacing w:before="0"/>
            <w:jc w:val="right"/>
          </w:pPr>
          <w:r>
            <w:t>Form of CEO/CFO Certif</w:t>
          </w:r>
          <w:r>
            <w:t>ication</w:t>
          </w:r>
        </w:p>
      </w:tc>
    </w:tr>
  </w:tbl>
  <w:p w14:paraId="074D4B40" w14:textId="77777777" w:rsidR="00783EBF" w:rsidRPr="00075BD3" w:rsidRDefault="00783EBF" w:rsidP="004A3FF1">
    <w:pPr>
      <w:pStyle w:val="Header"/>
      <w:rPr>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600"/>
      <w:gridCol w:w="6416"/>
    </w:tblGrid>
    <w:tr w:rsidR="00000000" w14:paraId="303D75EC" w14:textId="77777777" w:rsidTr="003A4AF7">
      <w:tc>
        <w:tcPr>
          <w:tcW w:w="4788" w:type="dxa"/>
          <w:shd w:val="clear" w:color="auto" w:fill="auto"/>
        </w:tcPr>
        <w:p w14:paraId="2EDE0060" w14:textId="77777777" w:rsidR="00783EBF" w:rsidRDefault="005B5528" w:rsidP="003A4AF7">
          <w:pPr>
            <w:autoSpaceDE w:val="0"/>
            <w:autoSpaceDN w:val="0"/>
            <w:adjustRightInd w:val="0"/>
          </w:pPr>
          <w:r>
            <w:pict w14:anchorId="13F06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6pt;height:22.5pt">
                <v:imagedata r:id="rId1" o:title="1line_2color"/>
                <o:lock v:ext="edit" aspectratio="f"/>
              </v:shape>
            </w:pict>
          </w:r>
        </w:p>
      </w:tc>
      <w:tc>
        <w:tcPr>
          <w:tcW w:w="8160" w:type="dxa"/>
          <w:shd w:val="clear" w:color="auto" w:fill="auto"/>
          <w:vAlign w:val="bottom"/>
        </w:tcPr>
        <w:p w14:paraId="15C135E6" w14:textId="77777777" w:rsidR="00783EBF" w:rsidRPr="00ED480E" w:rsidRDefault="00783EBF" w:rsidP="003A4AF7">
          <w:pPr>
            <w:autoSpaceDE w:val="0"/>
            <w:autoSpaceDN w:val="0"/>
            <w:adjustRightInd w:val="0"/>
            <w:jc w:val="right"/>
          </w:pPr>
        </w:p>
      </w:tc>
    </w:tr>
  </w:tbl>
  <w:p w14:paraId="40E1AF82" w14:textId="77777777" w:rsidR="00783EBF" w:rsidRPr="00ED480E" w:rsidRDefault="00783EBF">
    <w:pPr>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32D0F0"/>
    <w:lvl w:ilvl="0">
      <w:start w:val="1"/>
      <w:numFmt w:val="decimal"/>
      <w:pStyle w:val="ListNumber5"/>
      <w:lvlText w:val="%1."/>
      <w:lvlJc w:val="left"/>
      <w:pPr>
        <w:tabs>
          <w:tab w:val="num" w:pos="3600"/>
        </w:tabs>
        <w:ind w:left="3600" w:hanging="720"/>
      </w:pPr>
      <w:rPr>
        <w:rFonts w:hint="default"/>
      </w:rPr>
    </w:lvl>
  </w:abstractNum>
  <w:abstractNum w:abstractNumId="1" w15:restartNumberingAfterBreak="0">
    <w:nsid w:val="FFFFFF7D"/>
    <w:multiLevelType w:val="singleLevel"/>
    <w:tmpl w:val="59102246"/>
    <w:lvl w:ilvl="0">
      <w:start w:val="1"/>
      <w:numFmt w:val="decimal"/>
      <w:pStyle w:val="ListNumber4"/>
      <w:lvlText w:val="%1."/>
      <w:lvlJc w:val="left"/>
      <w:pPr>
        <w:tabs>
          <w:tab w:val="num" w:pos="2880"/>
        </w:tabs>
        <w:ind w:left="2880" w:hanging="720"/>
      </w:pPr>
      <w:rPr>
        <w:rFonts w:hint="default"/>
      </w:rPr>
    </w:lvl>
  </w:abstractNum>
  <w:abstractNum w:abstractNumId="2" w15:restartNumberingAfterBreak="0">
    <w:nsid w:val="FFFFFF7E"/>
    <w:multiLevelType w:val="singleLevel"/>
    <w:tmpl w:val="7D20ACE6"/>
    <w:lvl w:ilvl="0">
      <w:start w:val="1"/>
      <w:numFmt w:val="decimal"/>
      <w:pStyle w:val="ListNumber3"/>
      <w:lvlText w:val="%1."/>
      <w:lvlJc w:val="left"/>
      <w:pPr>
        <w:tabs>
          <w:tab w:val="num" w:pos="2160"/>
        </w:tabs>
        <w:ind w:left="2160" w:hanging="720"/>
      </w:pPr>
      <w:rPr>
        <w:rFonts w:hint="default"/>
      </w:rPr>
    </w:lvl>
  </w:abstractNum>
  <w:abstractNum w:abstractNumId="3" w15:restartNumberingAfterBreak="0">
    <w:nsid w:val="FFFFFF7F"/>
    <w:multiLevelType w:val="singleLevel"/>
    <w:tmpl w:val="3CC82FCC"/>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BF0A79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EA5198"/>
    <w:lvl w:ilvl="0">
      <w:start w:val="1"/>
      <w:numFmt w:val="bullet"/>
      <w:pStyle w:val="ListBullet4"/>
      <w:lvlText w:val="o"/>
      <w:lvlJc w:val="left"/>
      <w:pPr>
        <w:tabs>
          <w:tab w:val="num" w:pos="1080"/>
        </w:tabs>
        <w:ind w:left="1080" w:hanging="360"/>
      </w:pPr>
      <w:rPr>
        <w:rFonts w:ascii="Courier New" w:hAnsi="Courier New" w:hint="default"/>
      </w:rPr>
    </w:lvl>
  </w:abstractNum>
  <w:abstractNum w:abstractNumId="6" w15:restartNumberingAfterBreak="0">
    <w:nsid w:val="FFFFFF88"/>
    <w:multiLevelType w:val="singleLevel"/>
    <w:tmpl w:val="C5F0357A"/>
    <w:lvl w:ilvl="0">
      <w:start w:val="1"/>
      <w:numFmt w:val="decimal"/>
      <w:pStyle w:val="ListNumber"/>
      <w:lvlText w:val="%1."/>
      <w:lvlJc w:val="left"/>
      <w:pPr>
        <w:tabs>
          <w:tab w:val="num" w:pos="720"/>
        </w:tabs>
        <w:ind w:left="720" w:hanging="720"/>
      </w:pPr>
      <w:rPr>
        <w:rFonts w:hint="default"/>
        <w:b w:val="0"/>
      </w:rPr>
    </w:lvl>
  </w:abstractNum>
  <w:abstractNum w:abstractNumId="7" w15:restartNumberingAfterBreak="0">
    <w:nsid w:val="0083604E"/>
    <w:multiLevelType w:val="hybridMultilevel"/>
    <w:tmpl w:val="C9F44CF8"/>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8" w15:restartNumberingAfterBreak="0">
    <w:nsid w:val="03D36185"/>
    <w:multiLevelType w:val="hybridMultilevel"/>
    <w:tmpl w:val="2E3C4370"/>
    <w:lvl w:ilvl="0">
      <w:start w:val="1"/>
      <w:numFmt w:val="bullet"/>
      <w:pStyle w:val="Revision"/>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03D371F0"/>
    <w:multiLevelType w:val="hybridMultilevel"/>
    <w:tmpl w:val="C8889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07697FC5"/>
    <w:multiLevelType w:val="hybridMultilevel"/>
    <w:tmpl w:val="5B9E456E"/>
    <w:lvl w:ilvl="0">
      <w:start w:val="2"/>
      <w:numFmt w:val="bullet"/>
      <w:lvlText w:val="-"/>
      <w:lvlJc w:val="left"/>
      <w:pPr>
        <w:ind w:left="720" w:hanging="360"/>
      </w:pPr>
      <w:rPr>
        <w:rFonts w:ascii="Arial Narrow" w:eastAsia="Times New Roman" w:hAnsi="Arial Narrow"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097C0DA8"/>
    <w:multiLevelType w:val="hybridMultilevel"/>
    <w:tmpl w:val="4A806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0F9C17D9"/>
    <w:multiLevelType w:val="multilevel"/>
    <w:tmpl w:val="40CC1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E73E84"/>
    <w:multiLevelType w:val="hybridMultilevel"/>
    <w:tmpl w:val="1908900A"/>
    <w:lvl w:ilvl="0">
      <w:start w:val="1"/>
      <w:numFmt w:val="bullet"/>
      <w:pStyle w:val="ListBullet3"/>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41202A"/>
    <w:multiLevelType w:val="hybridMultilevel"/>
    <w:tmpl w:val="41EC6B40"/>
    <w:lvl w:ilvl="0">
      <w:start w:val="1"/>
      <w:numFmt w:val="bullet"/>
      <w:lvlText w:val=""/>
      <w:lvlJc w:val="left"/>
      <w:pPr>
        <w:ind w:left="576" w:hanging="288"/>
      </w:pPr>
      <w:rPr>
        <w:rFonts w:ascii="Symbol" w:hAnsi="Symbol" w:hint="default"/>
        <w:color w:val="4472C4"/>
        <w:sz w:val="18"/>
      </w:rPr>
    </w:lvl>
    <w:lvl w:ilvl="1">
      <w:start w:val="1"/>
      <w:numFmt w:val="bullet"/>
      <w:lvlText w:val=""/>
      <w:lvlJc w:val="left"/>
      <w:pPr>
        <w:ind w:left="1368" w:hanging="360"/>
      </w:pPr>
      <w:rPr>
        <w:rFonts w:ascii="Symbol" w:hAnsi="Symbol"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5" w15:restartNumberingAfterBreak="0">
    <w:nsid w:val="132E73AF"/>
    <w:multiLevelType w:val="hybridMultilevel"/>
    <w:tmpl w:val="5DF86FE6"/>
    <w:lvl w:ilvl="0">
      <w:start w:val="1"/>
      <w:numFmt w:val="bullet"/>
      <w:pStyle w:val="ListBullet"/>
      <w:lvlText w:val=""/>
      <w:lvlJc w:val="left"/>
      <w:pPr>
        <w:tabs>
          <w:tab w:val="num" w:pos="778"/>
        </w:tabs>
        <w:ind w:left="778"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A64969"/>
    <w:multiLevelType w:val="hybridMultilevel"/>
    <w:tmpl w:val="F75056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14F40ED0"/>
    <w:multiLevelType w:val="hybridMultilevel"/>
    <w:tmpl w:val="66C62B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158B28BD"/>
    <w:multiLevelType w:val="hybridMultilevel"/>
    <w:tmpl w:val="20F26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1A795540"/>
    <w:multiLevelType w:val="hybridMultilevel"/>
    <w:tmpl w:val="7B5280BE"/>
    <w:lvl w:ilvl="0">
      <w:start w:val="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1AFC5ED1"/>
    <w:multiLevelType w:val="hybridMultilevel"/>
    <w:tmpl w:val="7728D2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20D07DFF"/>
    <w:multiLevelType w:val="hybridMultilevel"/>
    <w:tmpl w:val="04940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34CA745D"/>
    <w:multiLevelType w:val="hybridMultilevel"/>
    <w:tmpl w:val="E9E47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36C43F8E"/>
    <w:multiLevelType w:val="hybridMultilevel"/>
    <w:tmpl w:val="C8BEA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3E96390E"/>
    <w:multiLevelType w:val="hybridMultilevel"/>
    <w:tmpl w:val="01AEB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45C43DF4"/>
    <w:multiLevelType w:val="hybridMultilevel"/>
    <w:tmpl w:val="F98AB8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15:restartNumberingAfterBreak="0">
    <w:nsid w:val="46A55F26"/>
    <w:multiLevelType w:val="hybridMultilevel"/>
    <w:tmpl w:val="11B0C8C2"/>
    <w:lvl w:ilvl="0">
      <w:start w:val="2"/>
      <w:numFmt w:val="bullet"/>
      <w:lvlText w:val="-"/>
      <w:lvlJc w:val="left"/>
      <w:pPr>
        <w:ind w:left="720" w:hanging="360"/>
      </w:pPr>
      <w:rPr>
        <w:rFonts w:ascii="Arial Narrow" w:eastAsia="Times New Roman" w:hAnsi="Arial Narrow"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48743B0A"/>
    <w:multiLevelType w:val="hybridMultilevel"/>
    <w:tmpl w:val="4C6C4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497E376C"/>
    <w:multiLevelType w:val="hybridMultilevel"/>
    <w:tmpl w:val="FFA27132"/>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4A462C15"/>
    <w:multiLevelType w:val="hybridMultilevel"/>
    <w:tmpl w:val="B71E88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3983521"/>
    <w:multiLevelType w:val="hybridMultilevel"/>
    <w:tmpl w:val="2682D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55EE4C1C"/>
    <w:multiLevelType w:val="hybridMultilevel"/>
    <w:tmpl w:val="33BCF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5837018E"/>
    <w:multiLevelType w:val="hybridMultilevel"/>
    <w:tmpl w:val="B6546B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5A6946F0"/>
    <w:multiLevelType w:val="hybridMultilevel"/>
    <w:tmpl w:val="FCE6C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5BA22CF1"/>
    <w:multiLevelType w:val="hybridMultilevel"/>
    <w:tmpl w:val="015C626A"/>
    <w:lvl w:ilvl="0">
      <w:start w:val="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6133340E"/>
    <w:multiLevelType w:val="hybridMultilevel"/>
    <w:tmpl w:val="F030F416"/>
    <w:lvl w:ilvl="0">
      <w:start w:val="4"/>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15:restartNumberingAfterBreak="0">
    <w:nsid w:val="622279E5"/>
    <w:multiLevelType w:val="hybridMultilevel"/>
    <w:tmpl w:val="0AC8FC80"/>
    <w:lvl w:ilvl="0">
      <w:start w:val="1"/>
      <w:numFmt w:val="lowerRoman"/>
      <w:lvlText w:val="(%1)"/>
      <w:lvlJc w:val="left"/>
      <w:pPr>
        <w:ind w:left="720" w:hanging="360"/>
      </w:pPr>
      <w:rPr>
        <w:rFonts w:hint="default"/>
        <w:b w:val="0"/>
        <w:bC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62907FBC"/>
    <w:multiLevelType w:val="hybridMultilevel"/>
    <w:tmpl w:val="F0569B50"/>
    <w:lvl w:ilvl="0">
      <w:start w:val="4"/>
      <w:numFmt w:val="bullet"/>
      <w:lvlText w:val=""/>
      <w:lvlJc w:val="left"/>
      <w:rPr>
        <w:rFonts w:ascii="Symbol" w:eastAsia="Times New Roman" w:hAnsi="Symbol"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15:restartNumberingAfterBreak="0">
    <w:nsid w:val="62EE1937"/>
    <w:multiLevelType w:val="hybridMultilevel"/>
    <w:tmpl w:val="F656C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15:restartNumberingAfterBreak="0">
    <w:nsid w:val="64CE04F8"/>
    <w:multiLevelType w:val="hybridMultilevel"/>
    <w:tmpl w:val="7AEE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15:restartNumberingAfterBreak="0">
    <w:nsid w:val="6A3361A7"/>
    <w:multiLevelType w:val="multilevel"/>
    <w:tmpl w:val="23DC2850"/>
    <w:name w:val="Enter a Name"/>
    <w:lvl w:ilvl="0">
      <w:start w:val="1"/>
      <w:numFmt w:val="upperRoman"/>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1" w15:restartNumberingAfterBreak="0">
    <w:nsid w:val="6B7E7FAD"/>
    <w:multiLevelType w:val="hybridMultilevel"/>
    <w:tmpl w:val="EB8604B4"/>
    <w:lvl w:ilvl="0">
      <w:start w:val="2"/>
      <w:numFmt w:val="bullet"/>
      <w:lvlText w:val="-"/>
      <w:lvlJc w:val="left"/>
      <w:pPr>
        <w:ind w:left="720" w:hanging="360"/>
      </w:pPr>
      <w:rPr>
        <w:rFonts w:ascii="Arial Narrow" w:eastAsia="Times New Roman" w:hAnsi="Arial Narrow"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15:restartNumberingAfterBreak="0">
    <w:nsid w:val="6DAD539A"/>
    <w:multiLevelType w:val="hybridMultilevel"/>
    <w:tmpl w:val="098CA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15:restartNumberingAfterBreak="0">
    <w:nsid w:val="6F8F0F07"/>
    <w:multiLevelType w:val="hybridMultilevel"/>
    <w:tmpl w:val="6B10BC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71580428"/>
    <w:multiLevelType w:val="hybridMultilevel"/>
    <w:tmpl w:val="2B22213E"/>
    <w:lvl w:ilvl="0">
      <w:start w:val="1"/>
      <w:numFmt w:val="bullet"/>
      <w:pStyle w:val="GW-Bullets"/>
      <w:lvlText w:val=""/>
      <w:lvlJc w:val="left"/>
      <w:pPr>
        <w:ind w:left="576" w:hanging="288"/>
      </w:pPr>
      <w:rPr>
        <w:rFonts w:ascii="Symbol" w:hAnsi="Symbol" w:hint="default"/>
        <w:color w:val="4472C4"/>
        <w:sz w:val="18"/>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3"/>
  </w:num>
  <w:num w:numId="8">
    <w:abstractNumId w:val="40"/>
  </w:num>
  <w:num w:numId="9">
    <w:abstractNumId w:val="15"/>
  </w:num>
  <w:num w:numId="10">
    <w:abstractNumId w:val="6"/>
  </w:num>
  <w:num w:numId="11">
    <w:abstractNumId w:val="21"/>
  </w:num>
  <w:num w:numId="12">
    <w:abstractNumId w:val="18"/>
  </w:num>
  <w:num w:numId="13">
    <w:abstractNumId w:val="22"/>
  </w:num>
  <w:num w:numId="14">
    <w:abstractNumId w:val="39"/>
  </w:num>
  <w:num w:numId="15">
    <w:abstractNumId w:val="11"/>
  </w:num>
  <w:num w:numId="16">
    <w:abstractNumId w:val="32"/>
  </w:num>
  <w:num w:numId="17">
    <w:abstractNumId w:val="33"/>
  </w:num>
  <w:num w:numId="18">
    <w:abstractNumId w:val="42"/>
  </w:num>
  <w:num w:numId="19">
    <w:abstractNumId w:val="44"/>
  </w:num>
  <w:num w:numId="20">
    <w:abstractNumId w:val="27"/>
  </w:num>
  <w:num w:numId="21">
    <w:abstractNumId w:val="14"/>
  </w:num>
  <w:num w:numId="22">
    <w:abstractNumId w:val="28"/>
  </w:num>
  <w:num w:numId="23">
    <w:abstractNumId w:val="23"/>
  </w:num>
  <w:num w:numId="24">
    <w:abstractNumId w:val="36"/>
  </w:num>
  <w:num w:numId="25">
    <w:abstractNumId w:val="15"/>
  </w:num>
  <w:num w:numId="26">
    <w:abstractNumId w:val="20"/>
  </w:num>
  <w:num w:numId="27">
    <w:abstractNumId w:val="35"/>
  </w:num>
  <w:num w:numId="28">
    <w:abstractNumId w:val="10"/>
  </w:num>
  <w:num w:numId="29">
    <w:abstractNumId w:val="26"/>
  </w:num>
  <w:num w:numId="30">
    <w:abstractNumId w:val="30"/>
  </w:num>
  <w:num w:numId="31">
    <w:abstractNumId w:val="43"/>
  </w:num>
  <w:num w:numId="32">
    <w:abstractNumId w:val="29"/>
  </w:num>
  <w:num w:numId="33">
    <w:abstractNumId w:val="41"/>
  </w:num>
  <w:num w:numId="34">
    <w:abstractNumId w:val="8"/>
  </w:num>
  <w:num w:numId="35">
    <w:abstractNumId w:val="9"/>
  </w:num>
  <w:num w:numId="36">
    <w:abstractNumId w:val="17"/>
  </w:num>
  <w:num w:numId="37">
    <w:abstractNumId w:val="31"/>
  </w:num>
  <w:num w:numId="38">
    <w:abstractNumId w:val="24"/>
  </w:num>
  <w:num w:numId="39">
    <w:abstractNumId w:val="34"/>
  </w:num>
  <w:num w:numId="40">
    <w:abstractNumId w:val="16"/>
  </w:num>
  <w:num w:numId="41">
    <w:abstractNumId w:val="38"/>
  </w:num>
  <w:num w:numId="42">
    <w:abstractNumId w:val="44"/>
    <w:lvlOverride w:ilvl="0"/>
    <w:lvlOverride w:ilvl="1"/>
    <w:lvlOverride w:ilvl="2"/>
    <w:lvlOverride w:ilvl="3"/>
    <w:lvlOverride w:ilvl="4"/>
    <w:lvlOverride w:ilvl="5"/>
    <w:lvlOverride w:ilvl="6"/>
    <w:lvlOverride w:ilvl="7"/>
    <w:lvlOverride w:ilvl="8"/>
  </w:num>
  <w:num w:numId="43">
    <w:abstractNumId w:val="25"/>
  </w:num>
  <w:num w:numId="44">
    <w:abstractNumId w:val="7"/>
  </w:num>
  <w:num w:numId="45">
    <w:abstractNumId w:val="19"/>
  </w:num>
  <w:num w:numId="46">
    <w:abstractNumId w:val="15"/>
  </w:num>
  <w:num w:numId="47">
    <w:abstractNumId w:val="15"/>
  </w:num>
  <w:num w:numId="48">
    <w:abstractNumId w:val="37"/>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D15"/>
    <w:rsid w:val="00000FB3"/>
    <w:rsid w:val="00002F0F"/>
    <w:rsid w:val="00003A8A"/>
    <w:rsid w:val="00003D21"/>
    <w:rsid w:val="000062C8"/>
    <w:rsid w:val="00006CC0"/>
    <w:rsid w:val="00011397"/>
    <w:rsid w:val="000121CE"/>
    <w:rsid w:val="00012D77"/>
    <w:rsid w:val="00013552"/>
    <w:rsid w:val="00015786"/>
    <w:rsid w:val="00020930"/>
    <w:rsid w:val="00022F90"/>
    <w:rsid w:val="00024AB3"/>
    <w:rsid w:val="00025EB9"/>
    <w:rsid w:val="00026014"/>
    <w:rsid w:val="00026165"/>
    <w:rsid w:val="00027308"/>
    <w:rsid w:val="0002752F"/>
    <w:rsid w:val="000311A0"/>
    <w:rsid w:val="00034324"/>
    <w:rsid w:val="0003770D"/>
    <w:rsid w:val="00037C9C"/>
    <w:rsid w:val="000411C3"/>
    <w:rsid w:val="000425E3"/>
    <w:rsid w:val="00046BF4"/>
    <w:rsid w:val="000509A7"/>
    <w:rsid w:val="0005134D"/>
    <w:rsid w:val="00051BB1"/>
    <w:rsid w:val="00052CCE"/>
    <w:rsid w:val="0005387A"/>
    <w:rsid w:val="00056928"/>
    <w:rsid w:val="00057EA9"/>
    <w:rsid w:val="0006067F"/>
    <w:rsid w:val="00063866"/>
    <w:rsid w:val="00067FA0"/>
    <w:rsid w:val="0007020A"/>
    <w:rsid w:val="00075BD3"/>
    <w:rsid w:val="000773A2"/>
    <w:rsid w:val="00080653"/>
    <w:rsid w:val="00082420"/>
    <w:rsid w:val="00082460"/>
    <w:rsid w:val="0008555A"/>
    <w:rsid w:val="0008650C"/>
    <w:rsid w:val="00086D7A"/>
    <w:rsid w:val="000876FD"/>
    <w:rsid w:val="000917CA"/>
    <w:rsid w:val="00091940"/>
    <w:rsid w:val="00091E00"/>
    <w:rsid w:val="000933FB"/>
    <w:rsid w:val="000935DF"/>
    <w:rsid w:val="00094C59"/>
    <w:rsid w:val="00096297"/>
    <w:rsid w:val="00096441"/>
    <w:rsid w:val="00097DAC"/>
    <w:rsid w:val="000A0E72"/>
    <w:rsid w:val="000A2537"/>
    <w:rsid w:val="000A2552"/>
    <w:rsid w:val="000A5938"/>
    <w:rsid w:val="000B14FF"/>
    <w:rsid w:val="000B2D08"/>
    <w:rsid w:val="000B58F6"/>
    <w:rsid w:val="000C3034"/>
    <w:rsid w:val="000C644E"/>
    <w:rsid w:val="000D2054"/>
    <w:rsid w:val="000D74ED"/>
    <w:rsid w:val="000E17DC"/>
    <w:rsid w:val="000E36DB"/>
    <w:rsid w:val="000E49B1"/>
    <w:rsid w:val="000F04A8"/>
    <w:rsid w:val="000F0807"/>
    <w:rsid w:val="000F5441"/>
    <w:rsid w:val="000F7655"/>
    <w:rsid w:val="00100170"/>
    <w:rsid w:val="00103892"/>
    <w:rsid w:val="00110B2E"/>
    <w:rsid w:val="00111320"/>
    <w:rsid w:val="0011238A"/>
    <w:rsid w:val="001220DD"/>
    <w:rsid w:val="00122770"/>
    <w:rsid w:val="00123037"/>
    <w:rsid w:val="001257F0"/>
    <w:rsid w:val="00130C9C"/>
    <w:rsid w:val="001328D6"/>
    <w:rsid w:val="00133EBC"/>
    <w:rsid w:val="00135622"/>
    <w:rsid w:val="00141C13"/>
    <w:rsid w:val="00142DDE"/>
    <w:rsid w:val="00144192"/>
    <w:rsid w:val="001443E8"/>
    <w:rsid w:val="00144EB1"/>
    <w:rsid w:val="00145685"/>
    <w:rsid w:val="001466DA"/>
    <w:rsid w:val="001517F7"/>
    <w:rsid w:val="00152A85"/>
    <w:rsid w:val="00155788"/>
    <w:rsid w:val="0015746F"/>
    <w:rsid w:val="00157B82"/>
    <w:rsid w:val="00162ADA"/>
    <w:rsid w:val="00166E3D"/>
    <w:rsid w:val="00172091"/>
    <w:rsid w:val="001745AA"/>
    <w:rsid w:val="001805A2"/>
    <w:rsid w:val="00180802"/>
    <w:rsid w:val="00182F3E"/>
    <w:rsid w:val="00182FF5"/>
    <w:rsid w:val="00185BC3"/>
    <w:rsid w:val="00185E69"/>
    <w:rsid w:val="00185FEB"/>
    <w:rsid w:val="001860A7"/>
    <w:rsid w:val="0018745F"/>
    <w:rsid w:val="001878F2"/>
    <w:rsid w:val="00190C6F"/>
    <w:rsid w:val="00191B25"/>
    <w:rsid w:val="00193E35"/>
    <w:rsid w:val="00194514"/>
    <w:rsid w:val="0019484F"/>
    <w:rsid w:val="001956D9"/>
    <w:rsid w:val="00195DA9"/>
    <w:rsid w:val="00196E90"/>
    <w:rsid w:val="001A0FDB"/>
    <w:rsid w:val="001A1C20"/>
    <w:rsid w:val="001A691A"/>
    <w:rsid w:val="001A7BB6"/>
    <w:rsid w:val="001B0AA9"/>
    <w:rsid w:val="001B1C34"/>
    <w:rsid w:val="001B212A"/>
    <w:rsid w:val="001B301C"/>
    <w:rsid w:val="001B54FC"/>
    <w:rsid w:val="001C1628"/>
    <w:rsid w:val="001C1867"/>
    <w:rsid w:val="001C23AD"/>
    <w:rsid w:val="001C42C6"/>
    <w:rsid w:val="001C6C15"/>
    <w:rsid w:val="001C79DF"/>
    <w:rsid w:val="001D2DAA"/>
    <w:rsid w:val="001D69AB"/>
    <w:rsid w:val="001D7828"/>
    <w:rsid w:val="001E1C59"/>
    <w:rsid w:val="001E2033"/>
    <w:rsid w:val="001E33B5"/>
    <w:rsid w:val="001E7D44"/>
    <w:rsid w:val="001F13BD"/>
    <w:rsid w:val="001F1B13"/>
    <w:rsid w:val="001F4817"/>
    <w:rsid w:val="002005B8"/>
    <w:rsid w:val="00200665"/>
    <w:rsid w:val="0020271A"/>
    <w:rsid w:val="00203227"/>
    <w:rsid w:val="00211254"/>
    <w:rsid w:val="00211ED5"/>
    <w:rsid w:val="00213E5F"/>
    <w:rsid w:val="00214936"/>
    <w:rsid w:val="00215BB8"/>
    <w:rsid w:val="00216CC0"/>
    <w:rsid w:val="00217206"/>
    <w:rsid w:val="00217C96"/>
    <w:rsid w:val="0022502D"/>
    <w:rsid w:val="002253C6"/>
    <w:rsid w:val="00226675"/>
    <w:rsid w:val="00233375"/>
    <w:rsid w:val="002337BC"/>
    <w:rsid w:val="00240BD6"/>
    <w:rsid w:val="00246F14"/>
    <w:rsid w:val="0024795B"/>
    <w:rsid w:val="002526AB"/>
    <w:rsid w:val="00253437"/>
    <w:rsid w:val="00254569"/>
    <w:rsid w:val="00255160"/>
    <w:rsid w:val="00256601"/>
    <w:rsid w:val="0025682D"/>
    <w:rsid w:val="00261AB7"/>
    <w:rsid w:val="00267529"/>
    <w:rsid w:val="00277263"/>
    <w:rsid w:val="00277644"/>
    <w:rsid w:val="00277E5B"/>
    <w:rsid w:val="0028030F"/>
    <w:rsid w:val="002810D7"/>
    <w:rsid w:val="002834A1"/>
    <w:rsid w:val="00283C37"/>
    <w:rsid w:val="00285455"/>
    <w:rsid w:val="00292BCC"/>
    <w:rsid w:val="00293E2D"/>
    <w:rsid w:val="00294E1E"/>
    <w:rsid w:val="00296D82"/>
    <w:rsid w:val="002974BE"/>
    <w:rsid w:val="002A35D0"/>
    <w:rsid w:val="002A40DE"/>
    <w:rsid w:val="002A45A1"/>
    <w:rsid w:val="002A54A9"/>
    <w:rsid w:val="002A5EE5"/>
    <w:rsid w:val="002B4504"/>
    <w:rsid w:val="002C28D4"/>
    <w:rsid w:val="002C508A"/>
    <w:rsid w:val="002C6FAC"/>
    <w:rsid w:val="002C782D"/>
    <w:rsid w:val="002D1ADF"/>
    <w:rsid w:val="002D39C0"/>
    <w:rsid w:val="002D3C48"/>
    <w:rsid w:val="002D4363"/>
    <w:rsid w:val="002D51F5"/>
    <w:rsid w:val="002D600B"/>
    <w:rsid w:val="002D733B"/>
    <w:rsid w:val="002D7E95"/>
    <w:rsid w:val="002E1AD2"/>
    <w:rsid w:val="002E3142"/>
    <w:rsid w:val="002E70FD"/>
    <w:rsid w:val="002F2421"/>
    <w:rsid w:val="002F41E9"/>
    <w:rsid w:val="002F47F0"/>
    <w:rsid w:val="002F5EBE"/>
    <w:rsid w:val="003002EC"/>
    <w:rsid w:val="0030117D"/>
    <w:rsid w:val="00301B7A"/>
    <w:rsid w:val="00301F6C"/>
    <w:rsid w:val="00302731"/>
    <w:rsid w:val="00302821"/>
    <w:rsid w:val="00304DE6"/>
    <w:rsid w:val="00305A73"/>
    <w:rsid w:val="003065F7"/>
    <w:rsid w:val="0030784C"/>
    <w:rsid w:val="003124C1"/>
    <w:rsid w:val="00315229"/>
    <w:rsid w:val="003164E3"/>
    <w:rsid w:val="003166B9"/>
    <w:rsid w:val="00317ECA"/>
    <w:rsid w:val="00320348"/>
    <w:rsid w:val="003213D3"/>
    <w:rsid w:val="00326144"/>
    <w:rsid w:val="00330DAB"/>
    <w:rsid w:val="00331E1D"/>
    <w:rsid w:val="003336D1"/>
    <w:rsid w:val="00336E3A"/>
    <w:rsid w:val="00337181"/>
    <w:rsid w:val="00340A76"/>
    <w:rsid w:val="0034499C"/>
    <w:rsid w:val="00345658"/>
    <w:rsid w:val="00354CA4"/>
    <w:rsid w:val="00355C54"/>
    <w:rsid w:val="0035674B"/>
    <w:rsid w:val="00356FEA"/>
    <w:rsid w:val="003604FC"/>
    <w:rsid w:val="00361766"/>
    <w:rsid w:val="00362B36"/>
    <w:rsid w:val="00370CAD"/>
    <w:rsid w:val="00370F25"/>
    <w:rsid w:val="003806E3"/>
    <w:rsid w:val="0038173F"/>
    <w:rsid w:val="0038545B"/>
    <w:rsid w:val="00385907"/>
    <w:rsid w:val="00386291"/>
    <w:rsid w:val="00386D55"/>
    <w:rsid w:val="00392BA5"/>
    <w:rsid w:val="003A1560"/>
    <w:rsid w:val="003A252D"/>
    <w:rsid w:val="003A29B1"/>
    <w:rsid w:val="003A2CCC"/>
    <w:rsid w:val="003A3B7D"/>
    <w:rsid w:val="003A4AF7"/>
    <w:rsid w:val="003B581D"/>
    <w:rsid w:val="003B6E7A"/>
    <w:rsid w:val="003B7A9B"/>
    <w:rsid w:val="003C2A89"/>
    <w:rsid w:val="003C2EE8"/>
    <w:rsid w:val="003D22F4"/>
    <w:rsid w:val="003D3601"/>
    <w:rsid w:val="003D3B37"/>
    <w:rsid w:val="003D3CC8"/>
    <w:rsid w:val="003D5731"/>
    <w:rsid w:val="003D574F"/>
    <w:rsid w:val="003D5A34"/>
    <w:rsid w:val="003E1AAA"/>
    <w:rsid w:val="003E1F54"/>
    <w:rsid w:val="003E4CE6"/>
    <w:rsid w:val="003E78CF"/>
    <w:rsid w:val="003F0D89"/>
    <w:rsid w:val="003F2382"/>
    <w:rsid w:val="003F6B53"/>
    <w:rsid w:val="003F7BD3"/>
    <w:rsid w:val="00401FB9"/>
    <w:rsid w:val="00403B11"/>
    <w:rsid w:val="00405091"/>
    <w:rsid w:val="00405FD9"/>
    <w:rsid w:val="004103D3"/>
    <w:rsid w:val="00412C5C"/>
    <w:rsid w:val="00413454"/>
    <w:rsid w:val="00417F47"/>
    <w:rsid w:val="0042008A"/>
    <w:rsid w:val="00420B23"/>
    <w:rsid w:val="00420E55"/>
    <w:rsid w:val="00423BE0"/>
    <w:rsid w:val="0043054F"/>
    <w:rsid w:val="004332DB"/>
    <w:rsid w:val="0043361D"/>
    <w:rsid w:val="00434DB2"/>
    <w:rsid w:val="00436438"/>
    <w:rsid w:val="00440DDD"/>
    <w:rsid w:val="00442170"/>
    <w:rsid w:val="00443C8C"/>
    <w:rsid w:val="00445032"/>
    <w:rsid w:val="004461B2"/>
    <w:rsid w:val="00447ADF"/>
    <w:rsid w:val="004512B5"/>
    <w:rsid w:val="004516EC"/>
    <w:rsid w:val="00451F1B"/>
    <w:rsid w:val="00451F36"/>
    <w:rsid w:val="004528BC"/>
    <w:rsid w:val="004530ED"/>
    <w:rsid w:val="0045371E"/>
    <w:rsid w:val="00454521"/>
    <w:rsid w:val="0046166B"/>
    <w:rsid w:val="00465DE4"/>
    <w:rsid w:val="00467118"/>
    <w:rsid w:val="00473DED"/>
    <w:rsid w:val="00475377"/>
    <w:rsid w:val="00483046"/>
    <w:rsid w:val="00483FC9"/>
    <w:rsid w:val="0048480D"/>
    <w:rsid w:val="0048630C"/>
    <w:rsid w:val="004872AE"/>
    <w:rsid w:val="004904AD"/>
    <w:rsid w:val="00492E80"/>
    <w:rsid w:val="0049538B"/>
    <w:rsid w:val="0049744A"/>
    <w:rsid w:val="004A299A"/>
    <w:rsid w:val="004A316A"/>
    <w:rsid w:val="004A3F7A"/>
    <w:rsid w:val="004A3FF1"/>
    <w:rsid w:val="004A44E9"/>
    <w:rsid w:val="004A5558"/>
    <w:rsid w:val="004A6A58"/>
    <w:rsid w:val="004A720D"/>
    <w:rsid w:val="004B4A87"/>
    <w:rsid w:val="004B601C"/>
    <w:rsid w:val="004B715E"/>
    <w:rsid w:val="004C018B"/>
    <w:rsid w:val="004C1568"/>
    <w:rsid w:val="004C1BEA"/>
    <w:rsid w:val="004C38D2"/>
    <w:rsid w:val="004C452D"/>
    <w:rsid w:val="004C45EE"/>
    <w:rsid w:val="004C468D"/>
    <w:rsid w:val="004C520E"/>
    <w:rsid w:val="004C56A7"/>
    <w:rsid w:val="004C5B09"/>
    <w:rsid w:val="004C67B7"/>
    <w:rsid w:val="004D0262"/>
    <w:rsid w:val="004D2538"/>
    <w:rsid w:val="004D2ED1"/>
    <w:rsid w:val="004D62F2"/>
    <w:rsid w:val="004D6BEC"/>
    <w:rsid w:val="004E1651"/>
    <w:rsid w:val="004E2F2B"/>
    <w:rsid w:val="004E2FB2"/>
    <w:rsid w:val="004E36E6"/>
    <w:rsid w:val="004E5E37"/>
    <w:rsid w:val="004F2360"/>
    <w:rsid w:val="004F35A1"/>
    <w:rsid w:val="004F5C76"/>
    <w:rsid w:val="005041C5"/>
    <w:rsid w:val="0050465B"/>
    <w:rsid w:val="005064B1"/>
    <w:rsid w:val="005077FE"/>
    <w:rsid w:val="0051255A"/>
    <w:rsid w:val="00513E97"/>
    <w:rsid w:val="00514E95"/>
    <w:rsid w:val="005154B2"/>
    <w:rsid w:val="0051574D"/>
    <w:rsid w:val="00516C1E"/>
    <w:rsid w:val="0052007A"/>
    <w:rsid w:val="0052704D"/>
    <w:rsid w:val="0053013A"/>
    <w:rsid w:val="005302F8"/>
    <w:rsid w:val="005329D1"/>
    <w:rsid w:val="0053437A"/>
    <w:rsid w:val="0053632A"/>
    <w:rsid w:val="005415A0"/>
    <w:rsid w:val="00542550"/>
    <w:rsid w:val="00542A53"/>
    <w:rsid w:val="005458AC"/>
    <w:rsid w:val="00550DC3"/>
    <w:rsid w:val="005514F2"/>
    <w:rsid w:val="00553813"/>
    <w:rsid w:val="00553A4C"/>
    <w:rsid w:val="00553D7F"/>
    <w:rsid w:val="00556489"/>
    <w:rsid w:val="0055673F"/>
    <w:rsid w:val="005570A7"/>
    <w:rsid w:val="005601DB"/>
    <w:rsid w:val="00562C80"/>
    <w:rsid w:val="00563B0B"/>
    <w:rsid w:val="00567C7B"/>
    <w:rsid w:val="0057140D"/>
    <w:rsid w:val="00573A01"/>
    <w:rsid w:val="005768BB"/>
    <w:rsid w:val="00576929"/>
    <w:rsid w:val="00576D75"/>
    <w:rsid w:val="00577EFC"/>
    <w:rsid w:val="00580E93"/>
    <w:rsid w:val="00581BFD"/>
    <w:rsid w:val="00583A96"/>
    <w:rsid w:val="00583CB6"/>
    <w:rsid w:val="0058408A"/>
    <w:rsid w:val="00585A6A"/>
    <w:rsid w:val="00585E6E"/>
    <w:rsid w:val="00586711"/>
    <w:rsid w:val="00586A84"/>
    <w:rsid w:val="0058707F"/>
    <w:rsid w:val="005901C9"/>
    <w:rsid w:val="00590274"/>
    <w:rsid w:val="005902D6"/>
    <w:rsid w:val="005916A5"/>
    <w:rsid w:val="00593225"/>
    <w:rsid w:val="0059464C"/>
    <w:rsid w:val="005949D9"/>
    <w:rsid w:val="005A00FF"/>
    <w:rsid w:val="005A0247"/>
    <w:rsid w:val="005A267D"/>
    <w:rsid w:val="005B0359"/>
    <w:rsid w:val="005B109E"/>
    <w:rsid w:val="005B5528"/>
    <w:rsid w:val="005C096A"/>
    <w:rsid w:val="005C0C05"/>
    <w:rsid w:val="005C21F8"/>
    <w:rsid w:val="005C2FDC"/>
    <w:rsid w:val="005C3DD3"/>
    <w:rsid w:val="005C5E90"/>
    <w:rsid w:val="005D0169"/>
    <w:rsid w:val="005D13DA"/>
    <w:rsid w:val="005D1442"/>
    <w:rsid w:val="005D1B30"/>
    <w:rsid w:val="005D3788"/>
    <w:rsid w:val="005D7A18"/>
    <w:rsid w:val="005E0096"/>
    <w:rsid w:val="005F1AE2"/>
    <w:rsid w:val="005F25FC"/>
    <w:rsid w:val="005F3CC7"/>
    <w:rsid w:val="005F4403"/>
    <w:rsid w:val="005F4E44"/>
    <w:rsid w:val="005F6242"/>
    <w:rsid w:val="005F762E"/>
    <w:rsid w:val="005F7929"/>
    <w:rsid w:val="005F79E4"/>
    <w:rsid w:val="00600341"/>
    <w:rsid w:val="006029FD"/>
    <w:rsid w:val="006052E2"/>
    <w:rsid w:val="00606ACD"/>
    <w:rsid w:val="00610A0B"/>
    <w:rsid w:val="00613ADD"/>
    <w:rsid w:val="00620707"/>
    <w:rsid w:val="00620839"/>
    <w:rsid w:val="00620BB1"/>
    <w:rsid w:val="00625138"/>
    <w:rsid w:val="00627A6A"/>
    <w:rsid w:val="0063216C"/>
    <w:rsid w:val="00632E26"/>
    <w:rsid w:val="00634623"/>
    <w:rsid w:val="00636AC4"/>
    <w:rsid w:val="0063750C"/>
    <w:rsid w:val="006431AF"/>
    <w:rsid w:val="00643BB7"/>
    <w:rsid w:val="006459E7"/>
    <w:rsid w:val="00651255"/>
    <w:rsid w:val="006553DA"/>
    <w:rsid w:val="0066078E"/>
    <w:rsid w:val="00663087"/>
    <w:rsid w:val="006650E9"/>
    <w:rsid w:val="006663CD"/>
    <w:rsid w:val="00666EA2"/>
    <w:rsid w:val="00667A9C"/>
    <w:rsid w:val="00671F67"/>
    <w:rsid w:val="00672176"/>
    <w:rsid w:val="00673BCA"/>
    <w:rsid w:val="006744A5"/>
    <w:rsid w:val="00675BB8"/>
    <w:rsid w:val="00675E45"/>
    <w:rsid w:val="006761AC"/>
    <w:rsid w:val="006776B1"/>
    <w:rsid w:val="00680C0D"/>
    <w:rsid w:val="0068256A"/>
    <w:rsid w:val="00682FCA"/>
    <w:rsid w:val="006854D5"/>
    <w:rsid w:val="00691175"/>
    <w:rsid w:val="00691AB6"/>
    <w:rsid w:val="00694FE9"/>
    <w:rsid w:val="00695EE0"/>
    <w:rsid w:val="006A0ABF"/>
    <w:rsid w:val="006A50B9"/>
    <w:rsid w:val="006A6625"/>
    <w:rsid w:val="006A7B42"/>
    <w:rsid w:val="006B5069"/>
    <w:rsid w:val="006B5265"/>
    <w:rsid w:val="006B6646"/>
    <w:rsid w:val="006B66EF"/>
    <w:rsid w:val="006C3046"/>
    <w:rsid w:val="006C4E7D"/>
    <w:rsid w:val="006C7807"/>
    <w:rsid w:val="006D0038"/>
    <w:rsid w:val="006D1227"/>
    <w:rsid w:val="006D5CA0"/>
    <w:rsid w:val="006D5F83"/>
    <w:rsid w:val="006D75AC"/>
    <w:rsid w:val="006E687F"/>
    <w:rsid w:val="006F14CD"/>
    <w:rsid w:val="006F677C"/>
    <w:rsid w:val="006F7760"/>
    <w:rsid w:val="007010EA"/>
    <w:rsid w:val="007021E4"/>
    <w:rsid w:val="00710540"/>
    <w:rsid w:val="007106FC"/>
    <w:rsid w:val="0071286E"/>
    <w:rsid w:val="00712E9A"/>
    <w:rsid w:val="00716054"/>
    <w:rsid w:val="00716578"/>
    <w:rsid w:val="00720D8E"/>
    <w:rsid w:val="0072433E"/>
    <w:rsid w:val="00724614"/>
    <w:rsid w:val="007268DD"/>
    <w:rsid w:val="007317AC"/>
    <w:rsid w:val="00732309"/>
    <w:rsid w:val="00734E63"/>
    <w:rsid w:val="007404E6"/>
    <w:rsid w:val="0074058E"/>
    <w:rsid w:val="00744B15"/>
    <w:rsid w:val="00747A2A"/>
    <w:rsid w:val="0075185D"/>
    <w:rsid w:val="0075257C"/>
    <w:rsid w:val="00753745"/>
    <w:rsid w:val="00754A99"/>
    <w:rsid w:val="00755F95"/>
    <w:rsid w:val="007602C0"/>
    <w:rsid w:val="00761D33"/>
    <w:rsid w:val="007630D7"/>
    <w:rsid w:val="00764E0E"/>
    <w:rsid w:val="00764E9F"/>
    <w:rsid w:val="0076645B"/>
    <w:rsid w:val="00767B8E"/>
    <w:rsid w:val="00771086"/>
    <w:rsid w:val="00771744"/>
    <w:rsid w:val="00774173"/>
    <w:rsid w:val="00774D33"/>
    <w:rsid w:val="00780842"/>
    <w:rsid w:val="007819A8"/>
    <w:rsid w:val="007833F9"/>
    <w:rsid w:val="00783EBF"/>
    <w:rsid w:val="00784A6C"/>
    <w:rsid w:val="007916ED"/>
    <w:rsid w:val="00792B33"/>
    <w:rsid w:val="00794E29"/>
    <w:rsid w:val="0079703E"/>
    <w:rsid w:val="00797EF1"/>
    <w:rsid w:val="007A44B4"/>
    <w:rsid w:val="007B037A"/>
    <w:rsid w:val="007B13E9"/>
    <w:rsid w:val="007B1484"/>
    <w:rsid w:val="007B1DA0"/>
    <w:rsid w:val="007B2FE1"/>
    <w:rsid w:val="007B5A85"/>
    <w:rsid w:val="007B6AD8"/>
    <w:rsid w:val="007B751D"/>
    <w:rsid w:val="007C4118"/>
    <w:rsid w:val="007D332D"/>
    <w:rsid w:val="007D3BCA"/>
    <w:rsid w:val="007D3DCF"/>
    <w:rsid w:val="007D4902"/>
    <w:rsid w:val="007E0D7E"/>
    <w:rsid w:val="007E1D69"/>
    <w:rsid w:val="007E3A2B"/>
    <w:rsid w:val="007E4641"/>
    <w:rsid w:val="007E50BB"/>
    <w:rsid w:val="007E65BD"/>
    <w:rsid w:val="007F07FB"/>
    <w:rsid w:val="007F0D70"/>
    <w:rsid w:val="007F2D13"/>
    <w:rsid w:val="007F724E"/>
    <w:rsid w:val="0080029B"/>
    <w:rsid w:val="008007B5"/>
    <w:rsid w:val="00800F3D"/>
    <w:rsid w:val="00803B47"/>
    <w:rsid w:val="0080574A"/>
    <w:rsid w:val="00810286"/>
    <w:rsid w:val="0081092B"/>
    <w:rsid w:val="00810D72"/>
    <w:rsid w:val="00811F48"/>
    <w:rsid w:val="0081220D"/>
    <w:rsid w:val="008126BD"/>
    <w:rsid w:val="0081506E"/>
    <w:rsid w:val="00817948"/>
    <w:rsid w:val="00817BF4"/>
    <w:rsid w:val="00820A01"/>
    <w:rsid w:val="00824652"/>
    <w:rsid w:val="008255E9"/>
    <w:rsid w:val="00826DEF"/>
    <w:rsid w:val="00833635"/>
    <w:rsid w:val="008354BA"/>
    <w:rsid w:val="008377DD"/>
    <w:rsid w:val="00847CEA"/>
    <w:rsid w:val="008519CD"/>
    <w:rsid w:val="00851BD9"/>
    <w:rsid w:val="008574E4"/>
    <w:rsid w:val="00860243"/>
    <w:rsid w:val="0086110E"/>
    <w:rsid w:val="00862FF2"/>
    <w:rsid w:val="008652E2"/>
    <w:rsid w:val="00865AB4"/>
    <w:rsid w:val="00865ADD"/>
    <w:rsid w:val="0086780F"/>
    <w:rsid w:val="00877E15"/>
    <w:rsid w:val="00881191"/>
    <w:rsid w:val="00882401"/>
    <w:rsid w:val="00883766"/>
    <w:rsid w:val="00885F24"/>
    <w:rsid w:val="0089165F"/>
    <w:rsid w:val="008924AA"/>
    <w:rsid w:val="008931D9"/>
    <w:rsid w:val="0089717D"/>
    <w:rsid w:val="008A0262"/>
    <w:rsid w:val="008A2023"/>
    <w:rsid w:val="008A2433"/>
    <w:rsid w:val="008A6621"/>
    <w:rsid w:val="008A6B3C"/>
    <w:rsid w:val="008A6F52"/>
    <w:rsid w:val="008A72ED"/>
    <w:rsid w:val="008B75A2"/>
    <w:rsid w:val="008B77F7"/>
    <w:rsid w:val="008C0EFC"/>
    <w:rsid w:val="008C492D"/>
    <w:rsid w:val="008C5C1D"/>
    <w:rsid w:val="008C6B68"/>
    <w:rsid w:val="008D3A6C"/>
    <w:rsid w:val="008D417D"/>
    <w:rsid w:val="008D47EC"/>
    <w:rsid w:val="008D5372"/>
    <w:rsid w:val="008D6760"/>
    <w:rsid w:val="008E0DA5"/>
    <w:rsid w:val="008E1CD8"/>
    <w:rsid w:val="008E2F4D"/>
    <w:rsid w:val="008E3EAE"/>
    <w:rsid w:val="008E45FE"/>
    <w:rsid w:val="008E5916"/>
    <w:rsid w:val="008E67F0"/>
    <w:rsid w:val="008F005A"/>
    <w:rsid w:val="008F12D6"/>
    <w:rsid w:val="008F231C"/>
    <w:rsid w:val="00901981"/>
    <w:rsid w:val="00902B3B"/>
    <w:rsid w:val="00903001"/>
    <w:rsid w:val="0090306A"/>
    <w:rsid w:val="009033EF"/>
    <w:rsid w:val="00904640"/>
    <w:rsid w:val="00905AF7"/>
    <w:rsid w:val="009065D9"/>
    <w:rsid w:val="009066E3"/>
    <w:rsid w:val="009072D9"/>
    <w:rsid w:val="00907D59"/>
    <w:rsid w:val="00910320"/>
    <w:rsid w:val="00911BED"/>
    <w:rsid w:val="00924835"/>
    <w:rsid w:val="00926483"/>
    <w:rsid w:val="00926AB5"/>
    <w:rsid w:val="0093465F"/>
    <w:rsid w:val="00935593"/>
    <w:rsid w:val="00935863"/>
    <w:rsid w:val="009371B7"/>
    <w:rsid w:val="00942E18"/>
    <w:rsid w:val="009517C1"/>
    <w:rsid w:val="00951920"/>
    <w:rsid w:val="00955178"/>
    <w:rsid w:val="009564E9"/>
    <w:rsid w:val="0096313B"/>
    <w:rsid w:val="00964446"/>
    <w:rsid w:val="009706AD"/>
    <w:rsid w:val="00972992"/>
    <w:rsid w:val="00973423"/>
    <w:rsid w:val="0097604C"/>
    <w:rsid w:val="009762CB"/>
    <w:rsid w:val="0097739C"/>
    <w:rsid w:val="00980082"/>
    <w:rsid w:val="0098080D"/>
    <w:rsid w:val="0098122A"/>
    <w:rsid w:val="00981721"/>
    <w:rsid w:val="0098266C"/>
    <w:rsid w:val="00983B33"/>
    <w:rsid w:val="00984F3F"/>
    <w:rsid w:val="00985775"/>
    <w:rsid w:val="0099173B"/>
    <w:rsid w:val="00991912"/>
    <w:rsid w:val="00992B1F"/>
    <w:rsid w:val="00992B57"/>
    <w:rsid w:val="00995EA4"/>
    <w:rsid w:val="00997CD6"/>
    <w:rsid w:val="009A0B27"/>
    <w:rsid w:val="009A1123"/>
    <w:rsid w:val="009A3777"/>
    <w:rsid w:val="009A489C"/>
    <w:rsid w:val="009A4AD6"/>
    <w:rsid w:val="009A4ADB"/>
    <w:rsid w:val="009A4FC1"/>
    <w:rsid w:val="009A780B"/>
    <w:rsid w:val="009B0555"/>
    <w:rsid w:val="009B1987"/>
    <w:rsid w:val="009B28B2"/>
    <w:rsid w:val="009B2A50"/>
    <w:rsid w:val="009B3002"/>
    <w:rsid w:val="009C5A85"/>
    <w:rsid w:val="009C6F0F"/>
    <w:rsid w:val="009D0A77"/>
    <w:rsid w:val="009D166D"/>
    <w:rsid w:val="009D5E42"/>
    <w:rsid w:val="009D6DAE"/>
    <w:rsid w:val="009E167C"/>
    <w:rsid w:val="009E4C21"/>
    <w:rsid w:val="009E4E32"/>
    <w:rsid w:val="009E60A9"/>
    <w:rsid w:val="009E789A"/>
    <w:rsid w:val="009F0B69"/>
    <w:rsid w:val="009F7584"/>
    <w:rsid w:val="00A01054"/>
    <w:rsid w:val="00A038F7"/>
    <w:rsid w:val="00A0508C"/>
    <w:rsid w:val="00A05A93"/>
    <w:rsid w:val="00A101C0"/>
    <w:rsid w:val="00A1065A"/>
    <w:rsid w:val="00A1141B"/>
    <w:rsid w:val="00A1236A"/>
    <w:rsid w:val="00A1256A"/>
    <w:rsid w:val="00A13116"/>
    <w:rsid w:val="00A13514"/>
    <w:rsid w:val="00A13E43"/>
    <w:rsid w:val="00A14CB3"/>
    <w:rsid w:val="00A15C10"/>
    <w:rsid w:val="00A16767"/>
    <w:rsid w:val="00A20F4D"/>
    <w:rsid w:val="00A249B9"/>
    <w:rsid w:val="00A2550C"/>
    <w:rsid w:val="00A27E61"/>
    <w:rsid w:val="00A3530A"/>
    <w:rsid w:val="00A37889"/>
    <w:rsid w:val="00A37A84"/>
    <w:rsid w:val="00A437F2"/>
    <w:rsid w:val="00A44985"/>
    <w:rsid w:val="00A45310"/>
    <w:rsid w:val="00A45F63"/>
    <w:rsid w:val="00A47A44"/>
    <w:rsid w:val="00A55949"/>
    <w:rsid w:val="00A55B6A"/>
    <w:rsid w:val="00A614B3"/>
    <w:rsid w:val="00A62E6B"/>
    <w:rsid w:val="00A6326E"/>
    <w:rsid w:val="00A63390"/>
    <w:rsid w:val="00A6363F"/>
    <w:rsid w:val="00A6416D"/>
    <w:rsid w:val="00A653BF"/>
    <w:rsid w:val="00A73152"/>
    <w:rsid w:val="00A7376A"/>
    <w:rsid w:val="00A76F29"/>
    <w:rsid w:val="00A7776E"/>
    <w:rsid w:val="00A86E44"/>
    <w:rsid w:val="00A91227"/>
    <w:rsid w:val="00A92B47"/>
    <w:rsid w:val="00A940E0"/>
    <w:rsid w:val="00A96276"/>
    <w:rsid w:val="00A96410"/>
    <w:rsid w:val="00AA0403"/>
    <w:rsid w:val="00AA3C79"/>
    <w:rsid w:val="00AA4740"/>
    <w:rsid w:val="00AA4F4A"/>
    <w:rsid w:val="00AA5E4A"/>
    <w:rsid w:val="00AB63C9"/>
    <w:rsid w:val="00AB7953"/>
    <w:rsid w:val="00AB7B1D"/>
    <w:rsid w:val="00AC0C02"/>
    <w:rsid w:val="00AC1B93"/>
    <w:rsid w:val="00AC2430"/>
    <w:rsid w:val="00AC31ED"/>
    <w:rsid w:val="00AC4C5E"/>
    <w:rsid w:val="00AC7767"/>
    <w:rsid w:val="00AD6E56"/>
    <w:rsid w:val="00AE01EA"/>
    <w:rsid w:val="00AE1278"/>
    <w:rsid w:val="00AE29BF"/>
    <w:rsid w:val="00AE6CDB"/>
    <w:rsid w:val="00AE77FC"/>
    <w:rsid w:val="00AF17FE"/>
    <w:rsid w:val="00AF344A"/>
    <w:rsid w:val="00AF3C70"/>
    <w:rsid w:val="00AF6B4B"/>
    <w:rsid w:val="00AF6FF9"/>
    <w:rsid w:val="00AF75A3"/>
    <w:rsid w:val="00AF7AFE"/>
    <w:rsid w:val="00AF7E0E"/>
    <w:rsid w:val="00B005F9"/>
    <w:rsid w:val="00B01818"/>
    <w:rsid w:val="00B018B8"/>
    <w:rsid w:val="00B0368B"/>
    <w:rsid w:val="00B0423D"/>
    <w:rsid w:val="00B051D1"/>
    <w:rsid w:val="00B07211"/>
    <w:rsid w:val="00B07991"/>
    <w:rsid w:val="00B1000A"/>
    <w:rsid w:val="00B10FC2"/>
    <w:rsid w:val="00B117EE"/>
    <w:rsid w:val="00B12AFE"/>
    <w:rsid w:val="00B13DA7"/>
    <w:rsid w:val="00B145C1"/>
    <w:rsid w:val="00B1771F"/>
    <w:rsid w:val="00B17BE6"/>
    <w:rsid w:val="00B24382"/>
    <w:rsid w:val="00B338F4"/>
    <w:rsid w:val="00B34624"/>
    <w:rsid w:val="00B424A2"/>
    <w:rsid w:val="00B42F73"/>
    <w:rsid w:val="00B439A4"/>
    <w:rsid w:val="00B443AF"/>
    <w:rsid w:val="00B44966"/>
    <w:rsid w:val="00B457D7"/>
    <w:rsid w:val="00B46D09"/>
    <w:rsid w:val="00B46E0C"/>
    <w:rsid w:val="00B52CF3"/>
    <w:rsid w:val="00B55663"/>
    <w:rsid w:val="00B558B8"/>
    <w:rsid w:val="00B56B3A"/>
    <w:rsid w:val="00B57A5C"/>
    <w:rsid w:val="00B61181"/>
    <w:rsid w:val="00B6186C"/>
    <w:rsid w:val="00B61DD7"/>
    <w:rsid w:val="00B63AA3"/>
    <w:rsid w:val="00B655A1"/>
    <w:rsid w:val="00B6634D"/>
    <w:rsid w:val="00B67B81"/>
    <w:rsid w:val="00B67DEF"/>
    <w:rsid w:val="00B706D2"/>
    <w:rsid w:val="00B76FF6"/>
    <w:rsid w:val="00B77885"/>
    <w:rsid w:val="00B80912"/>
    <w:rsid w:val="00B81058"/>
    <w:rsid w:val="00B84BB4"/>
    <w:rsid w:val="00B85D87"/>
    <w:rsid w:val="00B87C21"/>
    <w:rsid w:val="00B90669"/>
    <w:rsid w:val="00B941F6"/>
    <w:rsid w:val="00B95B54"/>
    <w:rsid w:val="00B95F17"/>
    <w:rsid w:val="00BA02A3"/>
    <w:rsid w:val="00BA098A"/>
    <w:rsid w:val="00BA34FE"/>
    <w:rsid w:val="00BA5CB7"/>
    <w:rsid w:val="00BA6926"/>
    <w:rsid w:val="00BA6EA3"/>
    <w:rsid w:val="00BA71D3"/>
    <w:rsid w:val="00BB0EA5"/>
    <w:rsid w:val="00BB1191"/>
    <w:rsid w:val="00BB3A1B"/>
    <w:rsid w:val="00BB6DD3"/>
    <w:rsid w:val="00BB7347"/>
    <w:rsid w:val="00BC3A73"/>
    <w:rsid w:val="00BC66A2"/>
    <w:rsid w:val="00BC695A"/>
    <w:rsid w:val="00BD334C"/>
    <w:rsid w:val="00BD478A"/>
    <w:rsid w:val="00BD6B34"/>
    <w:rsid w:val="00BD6EAC"/>
    <w:rsid w:val="00BD79E3"/>
    <w:rsid w:val="00BE3137"/>
    <w:rsid w:val="00BE4235"/>
    <w:rsid w:val="00BE51C4"/>
    <w:rsid w:val="00BF198F"/>
    <w:rsid w:val="00BF3B62"/>
    <w:rsid w:val="00BF4090"/>
    <w:rsid w:val="00BF432E"/>
    <w:rsid w:val="00BF46AD"/>
    <w:rsid w:val="00BF4D36"/>
    <w:rsid w:val="00BF759F"/>
    <w:rsid w:val="00C00528"/>
    <w:rsid w:val="00C00E09"/>
    <w:rsid w:val="00C010E2"/>
    <w:rsid w:val="00C01B2B"/>
    <w:rsid w:val="00C034CA"/>
    <w:rsid w:val="00C03686"/>
    <w:rsid w:val="00C03FE2"/>
    <w:rsid w:val="00C04DC8"/>
    <w:rsid w:val="00C05499"/>
    <w:rsid w:val="00C06911"/>
    <w:rsid w:val="00C06E72"/>
    <w:rsid w:val="00C11804"/>
    <w:rsid w:val="00C11CE3"/>
    <w:rsid w:val="00C13516"/>
    <w:rsid w:val="00C1549D"/>
    <w:rsid w:val="00C16037"/>
    <w:rsid w:val="00C1691C"/>
    <w:rsid w:val="00C201BB"/>
    <w:rsid w:val="00C224FE"/>
    <w:rsid w:val="00C233D5"/>
    <w:rsid w:val="00C236D7"/>
    <w:rsid w:val="00C23775"/>
    <w:rsid w:val="00C2450C"/>
    <w:rsid w:val="00C24B76"/>
    <w:rsid w:val="00C27F24"/>
    <w:rsid w:val="00C3085D"/>
    <w:rsid w:val="00C3583F"/>
    <w:rsid w:val="00C36EF7"/>
    <w:rsid w:val="00C40EF1"/>
    <w:rsid w:val="00C43389"/>
    <w:rsid w:val="00C455C4"/>
    <w:rsid w:val="00C458A0"/>
    <w:rsid w:val="00C52BBE"/>
    <w:rsid w:val="00C55FA9"/>
    <w:rsid w:val="00C5753D"/>
    <w:rsid w:val="00C57642"/>
    <w:rsid w:val="00C578C6"/>
    <w:rsid w:val="00C62219"/>
    <w:rsid w:val="00C648DB"/>
    <w:rsid w:val="00C64961"/>
    <w:rsid w:val="00C64CB5"/>
    <w:rsid w:val="00C65C4E"/>
    <w:rsid w:val="00C66098"/>
    <w:rsid w:val="00C678FA"/>
    <w:rsid w:val="00C75213"/>
    <w:rsid w:val="00C7548D"/>
    <w:rsid w:val="00C77EAB"/>
    <w:rsid w:val="00C817E7"/>
    <w:rsid w:val="00C82764"/>
    <w:rsid w:val="00C83935"/>
    <w:rsid w:val="00C841D9"/>
    <w:rsid w:val="00C86B2D"/>
    <w:rsid w:val="00C93181"/>
    <w:rsid w:val="00C94F0C"/>
    <w:rsid w:val="00C9553D"/>
    <w:rsid w:val="00C9576D"/>
    <w:rsid w:val="00C95D7C"/>
    <w:rsid w:val="00C97ACF"/>
    <w:rsid w:val="00CA0DE8"/>
    <w:rsid w:val="00CA453A"/>
    <w:rsid w:val="00CA5952"/>
    <w:rsid w:val="00CA6802"/>
    <w:rsid w:val="00CA6991"/>
    <w:rsid w:val="00CB0743"/>
    <w:rsid w:val="00CB34A2"/>
    <w:rsid w:val="00CB4050"/>
    <w:rsid w:val="00CB4226"/>
    <w:rsid w:val="00CB449E"/>
    <w:rsid w:val="00CC28F5"/>
    <w:rsid w:val="00CC4480"/>
    <w:rsid w:val="00CD060C"/>
    <w:rsid w:val="00CD07C6"/>
    <w:rsid w:val="00CD424F"/>
    <w:rsid w:val="00CD5922"/>
    <w:rsid w:val="00CD6E94"/>
    <w:rsid w:val="00CD6F4C"/>
    <w:rsid w:val="00CE3715"/>
    <w:rsid w:val="00CE66BC"/>
    <w:rsid w:val="00CE7E37"/>
    <w:rsid w:val="00CF42DB"/>
    <w:rsid w:val="00CF44CE"/>
    <w:rsid w:val="00CF6DDA"/>
    <w:rsid w:val="00D0437D"/>
    <w:rsid w:val="00D0469E"/>
    <w:rsid w:val="00D05A6C"/>
    <w:rsid w:val="00D061A1"/>
    <w:rsid w:val="00D076D7"/>
    <w:rsid w:val="00D1248D"/>
    <w:rsid w:val="00D136BB"/>
    <w:rsid w:val="00D17CCB"/>
    <w:rsid w:val="00D21BDA"/>
    <w:rsid w:val="00D22DFD"/>
    <w:rsid w:val="00D22E8C"/>
    <w:rsid w:val="00D24201"/>
    <w:rsid w:val="00D25072"/>
    <w:rsid w:val="00D266F2"/>
    <w:rsid w:val="00D269DA"/>
    <w:rsid w:val="00D27C47"/>
    <w:rsid w:val="00D311E3"/>
    <w:rsid w:val="00D33AC5"/>
    <w:rsid w:val="00D352C8"/>
    <w:rsid w:val="00D36D15"/>
    <w:rsid w:val="00D4017F"/>
    <w:rsid w:val="00D409FF"/>
    <w:rsid w:val="00D41786"/>
    <w:rsid w:val="00D421FA"/>
    <w:rsid w:val="00D50CBA"/>
    <w:rsid w:val="00D5125E"/>
    <w:rsid w:val="00D51623"/>
    <w:rsid w:val="00D52232"/>
    <w:rsid w:val="00D5385A"/>
    <w:rsid w:val="00D579A7"/>
    <w:rsid w:val="00D63581"/>
    <w:rsid w:val="00D64287"/>
    <w:rsid w:val="00D64607"/>
    <w:rsid w:val="00D66AFB"/>
    <w:rsid w:val="00D72016"/>
    <w:rsid w:val="00D83069"/>
    <w:rsid w:val="00D8370E"/>
    <w:rsid w:val="00D85AA6"/>
    <w:rsid w:val="00D85CCA"/>
    <w:rsid w:val="00D87B2A"/>
    <w:rsid w:val="00D901BA"/>
    <w:rsid w:val="00D93021"/>
    <w:rsid w:val="00D94345"/>
    <w:rsid w:val="00D94D95"/>
    <w:rsid w:val="00D96DF7"/>
    <w:rsid w:val="00DA18BD"/>
    <w:rsid w:val="00DA3B01"/>
    <w:rsid w:val="00DB29AC"/>
    <w:rsid w:val="00DB3A66"/>
    <w:rsid w:val="00DB42C6"/>
    <w:rsid w:val="00DB5740"/>
    <w:rsid w:val="00DC23CD"/>
    <w:rsid w:val="00DC286E"/>
    <w:rsid w:val="00DC35E9"/>
    <w:rsid w:val="00DC5015"/>
    <w:rsid w:val="00DC60B6"/>
    <w:rsid w:val="00DD0352"/>
    <w:rsid w:val="00DD35B6"/>
    <w:rsid w:val="00DD75CA"/>
    <w:rsid w:val="00DE00B1"/>
    <w:rsid w:val="00DE16F3"/>
    <w:rsid w:val="00DE26A1"/>
    <w:rsid w:val="00DE29C7"/>
    <w:rsid w:val="00DE5999"/>
    <w:rsid w:val="00DE78D1"/>
    <w:rsid w:val="00DE7F0F"/>
    <w:rsid w:val="00DF3C16"/>
    <w:rsid w:val="00DF5AE1"/>
    <w:rsid w:val="00DF6AEE"/>
    <w:rsid w:val="00DF7B5B"/>
    <w:rsid w:val="00E04057"/>
    <w:rsid w:val="00E06DCD"/>
    <w:rsid w:val="00E12829"/>
    <w:rsid w:val="00E13761"/>
    <w:rsid w:val="00E1478C"/>
    <w:rsid w:val="00E172F8"/>
    <w:rsid w:val="00E17B4A"/>
    <w:rsid w:val="00E24D53"/>
    <w:rsid w:val="00E26EBB"/>
    <w:rsid w:val="00E32434"/>
    <w:rsid w:val="00E35AF4"/>
    <w:rsid w:val="00E36CE3"/>
    <w:rsid w:val="00E37B77"/>
    <w:rsid w:val="00E37F72"/>
    <w:rsid w:val="00E438B6"/>
    <w:rsid w:val="00E45F48"/>
    <w:rsid w:val="00E460B9"/>
    <w:rsid w:val="00E47B30"/>
    <w:rsid w:val="00E55795"/>
    <w:rsid w:val="00E55874"/>
    <w:rsid w:val="00E55BD1"/>
    <w:rsid w:val="00E55DD7"/>
    <w:rsid w:val="00E55F7F"/>
    <w:rsid w:val="00E607AC"/>
    <w:rsid w:val="00E63D52"/>
    <w:rsid w:val="00E64138"/>
    <w:rsid w:val="00E65B1D"/>
    <w:rsid w:val="00E67FEF"/>
    <w:rsid w:val="00E709DF"/>
    <w:rsid w:val="00E70F5E"/>
    <w:rsid w:val="00E7190B"/>
    <w:rsid w:val="00E72E5D"/>
    <w:rsid w:val="00E73595"/>
    <w:rsid w:val="00E7633F"/>
    <w:rsid w:val="00E81213"/>
    <w:rsid w:val="00E82869"/>
    <w:rsid w:val="00E82BE2"/>
    <w:rsid w:val="00E851E7"/>
    <w:rsid w:val="00E856F5"/>
    <w:rsid w:val="00E85BA2"/>
    <w:rsid w:val="00E87991"/>
    <w:rsid w:val="00E90CB7"/>
    <w:rsid w:val="00E92728"/>
    <w:rsid w:val="00E92849"/>
    <w:rsid w:val="00E9569B"/>
    <w:rsid w:val="00E978FC"/>
    <w:rsid w:val="00E979CE"/>
    <w:rsid w:val="00E97D97"/>
    <w:rsid w:val="00EA050F"/>
    <w:rsid w:val="00EA2F80"/>
    <w:rsid w:val="00EA5A1A"/>
    <w:rsid w:val="00EB10B6"/>
    <w:rsid w:val="00EB3F94"/>
    <w:rsid w:val="00EB7338"/>
    <w:rsid w:val="00EB777B"/>
    <w:rsid w:val="00EB7F21"/>
    <w:rsid w:val="00EC36BF"/>
    <w:rsid w:val="00EC645E"/>
    <w:rsid w:val="00EC7543"/>
    <w:rsid w:val="00ED2AED"/>
    <w:rsid w:val="00ED480E"/>
    <w:rsid w:val="00EE0839"/>
    <w:rsid w:val="00EE3D1B"/>
    <w:rsid w:val="00EE5307"/>
    <w:rsid w:val="00EE5E4B"/>
    <w:rsid w:val="00EE6341"/>
    <w:rsid w:val="00EF1006"/>
    <w:rsid w:val="00EF328B"/>
    <w:rsid w:val="00EF387A"/>
    <w:rsid w:val="00F0195C"/>
    <w:rsid w:val="00F05E5A"/>
    <w:rsid w:val="00F06058"/>
    <w:rsid w:val="00F125FF"/>
    <w:rsid w:val="00F13D89"/>
    <w:rsid w:val="00F1515C"/>
    <w:rsid w:val="00F166A5"/>
    <w:rsid w:val="00F16B6E"/>
    <w:rsid w:val="00F21967"/>
    <w:rsid w:val="00F224E6"/>
    <w:rsid w:val="00F22582"/>
    <w:rsid w:val="00F2344D"/>
    <w:rsid w:val="00F236B4"/>
    <w:rsid w:val="00F26629"/>
    <w:rsid w:val="00F27938"/>
    <w:rsid w:val="00F3116D"/>
    <w:rsid w:val="00F34F23"/>
    <w:rsid w:val="00F42285"/>
    <w:rsid w:val="00F43788"/>
    <w:rsid w:val="00F43831"/>
    <w:rsid w:val="00F43C28"/>
    <w:rsid w:val="00F47A0E"/>
    <w:rsid w:val="00F5022C"/>
    <w:rsid w:val="00F51348"/>
    <w:rsid w:val="00F52372"/>
    <w:rsid w:val="00F526E7"/>
    <w:rsid w:val="00F530A8"/>
    <w:rsid w:val="00F600A5"/>
    <w:rsid w:val="00F60D14"/>
    <w:rsid w:val="00F619BB"/>
    <w:rsid w:val="00F62E51"/>
    <w:rsid w:val="00F63E28"/>
    <w:rsid w:val="00F63F16"/>
    <w:rsid w:val="00F655A5"/>
    <w:rsid w:val="00F714EC"/>
    <w:rsid w:val="00F726F6"/>
    <w:rsid w:val="00F72C6C"/>
    <w:rsid w:val="00F73311"/>
    <w:rsid w:val="00F746CA"/>
    <w:rsid w:val="00F80073"/>
    <w:rsid w:val="00F805D8"/>
    <w:rsid w:val="00F80EED"/>
    <w:rsid w:val="00F82D3D"/>
    <w:rsid w:val="00F82D5F"/>
    <w:rsid w:val="00F85092"/>
    <w:rsid w:val="00F86CF0"/>
    <w:rsid w:val="00F87332"/>
    <w:rsid w:val="00F87832"/>
    <w:rsid w:val="00F91087"/>
    <w:rsid w:val="00F92BE6"/>
    <w:rsid w:val="00F94639"/>
    <w:rsid w:val="00F969CB"/>
    <w:rsid w:val="00F975FC"/>
    <w:rsid w:val="00FA0DB4"/>
    <w:rsid w:val="00FA5C45"/>
    <w:rsid w:val="00FB6B91"/>
    <w:rsid w:val="00FB7545"/>
    <w:rsid w:val="00FB7CB8"/>
    <w:rsid w:val="00FC154F"/>
    <w:rsid w:val="00FD274F"/>
    <w:rsid w:val="00FD2B13"/>
    <w:rsid w:val="00FD35F9"/>
    <w:rsid w:val="00FD539B"/>
    <w:rsid w:val="00FD5EAC"/>
    <w:rsid w:val="00FD6AA3"/>
    <w:rsid w:val="00FD7023"/>
    <w:rsid w:val="00FE1C2D"/>
    <w:rsid w:val="00FE24E6"/>
    <w:rsid w:val="00FE25C8"/>
    <w:rsid w:val="00FE3A9A"/>
    <w:rsid w:val="00FE4668"/>
    <w:rsid w:val="00FE6BCB"/>
    <w:rsid w:val="00FF0602"/>
    <w:rsid w:val="00FF50E8"/>
    <w:rsid w:val="00FF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D7CB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uiPriority="10" w:qFormat="1"/>
    <w:lsdException w:name="Body Text" w:qFormat="1"/>
    <w:lsdException w:name="Subtitle" w:qFormat="1"/>
    <w:lsdException w:name="Hyperlink" w:uiPriority="99"/>
    <w:lsdException w:name="Strong" w:qFormat="1"/>
    <w:lsdException w:name="Emphasis" w:qFormat="1"/>
    <w:lsdException w:name="Plain Text" w:uiPriority="99"/>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37"/>
    <w:rPr>
      <w:sz w:val="22"/>
      <w:szCs w:val="22"/>
    </w:rPr>
  </w:style>
  <w:style w:type="paragraph" w:styleId="Heading1">
    <w:name w:val="heading 1"/>
    <w:basedOn w:val="Normal"/>
    <w:next w:val="BodyText"/>
    <w:link w:val="Heading1Char"/>
    <w:qFormat/>
    <w:pPr>
      <w:keepNext/>
      <w:spacing w:before="240" w:after="240"/>
      <w:jc w:val="center"/>
      <w:outlineLvl w:val="0"/>
    </w:pPr>
    <w:rPr>
      <w:b/>
      <w:u w:val="single"/>
    </w:rPr>
  </w:style>
  <w:style w:type="paragraph" w:styleId="Heading2">
    <w:name w:val="heading 2"/>
    <w:basedOn w:val="Normal"/>
    <w:next w:val="BodyText"/>
    <w:qFormat/>
    <w:pPr>
      <w:keepNext/>
      <w:numPr>
        <w:ilvl w:val="1"/>
        <w:numId w:val="8"/>
      </w:numPr>
      <w:tabs>
        <w:tab w:val="left" w:pos="720"/>
      </w:tabs>
      <w:spacing w:before="480" w:after="240"/>
      <w:outlineLvl w:val="1"/>
    </w:pPr>
    <w:rPr>
      <w:u w:val="single"/>
    </w:rPr>
  </w:style>
  <w:style w:type="paragraph" w:styleId="Heading3">
    <w:name w:val="heading 3"/>
    <w:basedOn w:val="Normal"/>
    <w:next w:val="BodyText"/>
    <w:qFormat/>
    <w:pPr>
      <w:keepNext/>
      <w:numPr>
        <w:ilvl w:val="2"/>
        <w:numId w:val="8"/>
      </w:numPr>
      <w:spacing w:before="120" w:after="120"/>
      <w:outlineLvl w:val="2"/>
    </w:pPr>
    <w:rPr>
      <w:u w:val="single"/>
    </w:rPr>
  </w:style>
  <w:style w:type="paragraph" w:styleId="Heading4">
    <w:name w:val="heading 4"/>
    <w:basedOn w:val="Normal"/>
    <w:next w:val="BodyText"/>
    <w:qFormat/>
    <w:pPr>
      <w:keepNext/>
      <w:numPr>
        <w:ilvl w:val="3"/>
        <w:numId w:val="8"/>
      </w:numPr>
      <w:spacing w:before="120" w:after="120"/>
      <w:outlineLvl w:val="3"/>
    </w:pPr>
    <w:rPr>
      <w:i/>
    </w:rPr>
  </w:style>
  <w:style w:type="paragraph" w:styleId="Heading5">
    <w:name w:val="heading 5"/>
    <w:basedOn w:val="Normal"/>
    <w:next w:val="BodyText"/>
    <w:qFormat/>
    <w:pPr>
      <w:numPr>
        <w:ilvl w:val="4"/>
        <w:numId w:val="8"/>
      </w:numPr>
      <w:spacing w:after="240"/>
      <w:outlineLvl w:val="4"/>
    </w:pPr>
  </w:style>
  <w:style w:type="paragraph" w:styleId="Heading6">
    <w:name w:val="heading 6"/>
    <w:basedOn w:val="Normal"/>
    <w:next w:val="BodyText"/>
    <w:qFormat/>
    <w:pPr>
      <w:numPr>
        <w:ilvl w:val="5"/>
        <w:numId w:val="8"/>
      </w:numPr>
      <w:spacing w:after="240"/>
      <w:outlineLvl w:val="5"/>
    </w:pPr>
  </w:style>
  <w:style w:type="paragraph" w:styleId="Heading7">
    <w:name w:val="heading 7"/>
    <w:basedOn w:val="Normal"/>
    <w:next w:val="BodyText"/>
    <w:qFormat/>
    <w:pPr>
      <w:numPr>
        <w:ilvl w:val="6"/>
        <w:numId w:val="8"/>
      </w:numPr>
      <w:spacing w:after="240"/>
      <w:outlineLvl w:val="6"/>
    </w:pPr>
  </w:style>
  <w:style w:type="paragraph" w:styleId="Heading8">
    <w:name w:val="heading 8"/>
    <w:basedOn w:val="Normal"/>
    <w:next w:val="BodyText"/>
    <w:qFormat/>
    <w:pPr>
      <w:numPr>
        <w:ilvl w:val="7"/>
        <w:numId w:val="8"/>
      </w:numPr>
      <w:spacing w:after="240"/>
      <w:outlineLvl w:val="7"/>
    </w:pPr>
  </w:style>
  <w:style w:type="paragraph" w:styleId="Heading9">
    <w:name w:val="heading 9"/>
    <w:basedOn w:val="Normal"/>
    <w:next w:val="BodyText"/>
    <w:qFormat/>
    <w:pPr>
      <w:numPr>
        <w:ilvl w:val="8"/>
        <w:numId w:val="8"/>
      </w:numPr>
      <w:spacing w:after="240"/>
      <w:outlineLvl w:val="8"/>
    </w:p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qFormat/>
    <w:pPr>
      <w:spacing w:after="240"/>
    </w:pPr>
  </w:style>
  <w:style w:type="paragraph" w:styleId="BlockText">
    <w:name w:val="Block Text"/>
    <w:basedOn w:val="Normal"/>
    <w:pPr>
      <w:spacing w:after="240"/>
      <w:ind w:left="1440" w:right="1440"/>
    </w:pPr>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720"/>
    </w:pPr>
  </w:style>
  <w:style w:type="paragraph" w:styleId="BodyTextIndent">
    <w:name w:val="Body Text Indent"/>
    <w:basedOn w:val="Normal"/>
    <w:pPr>
      <w:spacing w:after="240"/>
      <w:ind w:left="720"/>
    </w:pPr>
  </w:style>
  <w:style w:type="paragraph" w:styleId="BodyTextFirstIndent2">
    <w:name w:val="Body Text First Indent 2"/>
    <w:basedOn w:val="BodyTextIndent"/>
    <w:pPr>
      <w:spacing w:after="0" w:line="480" w:lineRule="auto"/>
      <w:ind w:left="0" w:firstLine="720"/>
    </w:pPr>
  </w:style>
  <w:style w:type="paragraph" w:styleId="BodyTextIndent2">
    <w:name w:val="Body Text Indent 2"/>
    <w:basedOn w:val="Normal"/>
    <w:pPr>
      <w:spacing w:line="480" w:lineRule="auto"/>
      <w:ind w:left="720"/>
    </w:pPr>
  </w:style>
  <w:style w:type="paragraph" w:styleId="BodyTextIndent3">
    <w:name w:val="Body Text Indent 3"/>
    <w:basedOn w:val="Normal"/>
    <w:pPr>
      <w:spacing w:after="240"/>
      <w:ind w:left="1440"/>
    </w:pPr>
  </w:style>
  <w:style w:type="paragraph" w:styleId="Closing">
    <w:name w:val="Closing"/>
    <w:basedOn w:val="Normal"/>
    <w:next w:val="Signature"/>
    <w:pPr>
      <w:keepNext/>
      <w:spacing w:after="600"/>
    </w:pPr>
  </w:style>
  <w:style w:type="paragraph" w:styleId="Signature">
    <w:name w:val="Signature"/>
    <w:basedOn w:val="Normal"/>
    <w:next w:val="BodyText"/>
    <w:pPr>
      <w:tabs>
        <w:tab w:val="right" w:leader="underscore" w:pos="9360"/>
      </w:tabs>
      <w:spacing w:after="240"/>
      <w:ind w:left="5040"/>
    </w:pPr>
  </w:style>
  <w:style w:type="paragraph" w:styleId="Date">
    <w:name w:val="Date"/>
    <w:basedOn w:val="Normal"/>
    <w:next w:val="BodyText"/>
    <w:pPr>
      <w:spacing w:after="480"/>
    </w:pPr>
  </w:style>
  <w:style w:type="paragraph" w:styleId="EnvelopeAddress">
    <w:name w:val="envelope address"/>
    <w:basedOn w:val="Normal"/>
    <w:pPr>
      <w:framePr w:w="7920" w:h="1980" w:hRule="exact" w:hSpace="180" w:wrap="auto" w:hAnchor="page" w:xAlign="center" w:yAlign="bottom"/>
      <w:ind w:left="2880"/>
    </w:pPr>
  </w:style>
  <w:style w:type="paragraph" w:styleId="Footer">
    <w:name w:val="footer"/>
    <w:basedOn w:val="Normal"/>
    <w:link w:val="FooterChar"/>
    <w:uiPriority w:val="99"/>
    <w:pPr>
      <w:tabs>
        <w:tab w:val="center" w:pos="4680"/>
        <w:tab w:val="right" w:pos="9360"/>
      </w:tabs>
    </w:pPr>
  </w:style>
  <w:style w:type="paragraph" w:styleId="FootnoteText">
    <w:name w:val="footnote text"/>
    <w:basedOn w:val="Normal"/>
    <w:semiHidden/>
    <w:pPr>
      <w:spacing w:after="120" w:line="240" w:lineRule="exact"/>
      <w:ind w:left="432" w:hanging="432"/>
    </w:pPr>
    <w:rPr>
      <w:sz w:val="20"/>
    </w:r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autoRedefine/>
    <w:rsid w:val="00BF3B62"/>
    <w:pPr>
      <w:numPr>
        <w:numId w:val="9"/>
      </w:numPr>
      <w:spacing w:after="120"/>
    </w:pPr>
    <w:rPr>
      <w:sz w:val="23"/>
      <w:szCs w:val="23"/>
    </w:rPr>
  </w:style>
  <w:style w:type="paragraph" w:styleId="ListBullet2">
    <w:name w:val="List Bullet 2"/>
    <w:basedOn w:val="Normal"/>
    <w:autoRedefine/>
    <w:pPr>
      <w:tabs>
        <w:tab w:val="left" w:pos="760"/>
      </w:tabs>
      <w:spacing w:after="120"/>
    </w:pPr>
    <w:rPr>
      <w:szCs w:val="24"/>
    </w:rPr>
  </w:style>
  <w:style w:type="paragraph" w:styleId="ListBullet3">
    <w:name w:val="List Bullet 3"/>
    <w:basedOn w:val="Normal"/>
    <w:autoRedefine/>
    <w:pPr>
      <w:numPr>
        <w:numId w:val="7"/>
      </w:numPr>
      <w:tabs>
        <w:tab w:val="clear" w:pos="1080"/>
      </w:tabs>
      <w:spacing w:after="120"/>
      <w:ind w:left="831"/>
    </w:pPr>
    <w:rPr>
      <w:szCs w:val="24"/>
    </w:rPr>
  </w:style>
  <w:style w:type="paragraph" w:styleId="ListBullet4">
    <w:name w:val="List Bullet 4"/>
    <w:basedOn w:val="Normal"/>
    <w:pPr>
      <w:numPr>
        <w:numId w:val="1"/>
      </w:numPr>
      <w:tabs>
        <w:tab w:val="clear" w:pos="1080"/>
        <w:tab w:val="num" w:pos="2160"/>
      </w:tabs>
      <w:spacing w:after="120"/>
      <w:ind w:left="2160" w:hanging="720"/>
    </w:pPr>
  </w:style>
  <w:style w:type="paragraph" w:styleId="ListBullet5">
    <w:name w:val="List Bullet 5"/>
    <w:basedOn w:val="Normal"/>
    <w:autoRedefine/>
    <w:pPr>
      <w:numPr>
        <w:numId w:val="2"/>
      </w:numPr>
    </w:pPr>
  </w:style>
  <w:style w:type="paragraph" w:styleId="ListContinue">
    <w:name w:val="List Continue"/>
    <w:basedOn w:val="Normal"/>
    <w:pPr>
      <w:spacing w:after="240"/>
      <w:ind w:left="720"/>
    </w:pPr>
  </w:style>
  <w:style w:type="paragraph" w:styleId="ListContinue2">
    <w:name w:val="List Continue 2"/>
    <w:basedOn w:val="Normal"/>
    <w:pPr>
      <w:spacing w:line="480" w:lineRule="auto"/>
      <w:ind w:left="720"/>
    </w:pPr>
  </w:style>
  <w:style w:type="paragraph" w:styleId="ListContinue3">
    <w:name w:val="List Continue 3"/>
    <w:basedOn w:val="Normal"/>
    <w:pPr>
      <w:spacing w:after="240"/>
      <w:ind w:left="1440"/>
    </w:pPr>
  </w:style>
  <w:style w:type="paragraph" w:styleId="ListContinue4">
    <w:name w:val="List Continue 4"/>
    <w:basedOn w:val="Normal"/>
    <w:pPr>
      <w:spacing w:line="480" w:lineRule="auto"/>
      <w:ind w:left="1440"/>
    </w:pPr>
  </w:style>
  <w:style w:type="paragraph" w:styleId="ListContinue5">
    <w:name w:val="List Continue 5"/>
    <w:basedOn w:val="Normal"/>
    <w:pPr>
      <w:spacing w:after="240"/>
      <w:ind w:left="2160"/>
    </w:pPr>
  </w:style>
  <w:style w:type="paragraph" w:styleId="ListNumber">
    <w:name w:val="List Number"/>
    <w:basedOn w:val="Normal"/>
    <w:pPr>
      <w:numPr>
        <w:numId w:val="10"/>
      </w:numPr>
      <w:spacing w:after="240"/>
    </w:pPr>
  </w:style>
  <w:style w:type="paragraph" w:styleId="ListNumber2">
    <w:name w:val="List Number 2"/>
    <w:basedOn w:val="Normal"/>
    <w:pPr>
      <w:numPr>
        <w:numId w:val="3"/>
      </w:numPr>
      <w:spacing w:after="240"/>
    </w:pPr>
  </w:style>
  <w:style w:type="paragraph" w:styleId="ListNumber3">
    <w:name w:val="List Number 3"/>
    <w:basedOn w:val="Normal"/>
    <w:pPr>
      <w:numPr>
        <w:numId w:val="4"/>
      </w:numPr>
      <w:spacing w:after="240"/>
    </w:pPr>
  </w:style>
  <w:style w:type="paragraph" w:styleId="ListNumber4">
    <w:name w:val="List Number 4"/>
    <w:basedOn w:val="Normal"/>
    <w:pPr>
      <w:numPr>
        <w:numId w:val="5"/>
      </w:numPr>
      <w:spacing w:after="240"/>
    </w:pPr>
  </w:style>
  <w:style w:type="paragraph" w:styleId="ListNumber5">
    <w:name w:val="List Number 5"/>
    <w:basedOn w:val="Normal"/>
    <w:pPr>
      <w:numPr>
        <w:numId w:val="6"/>
      </w:numPr>
      <w:spacing w:after="240"/>
    </w:pPr>
  </w:style>
  <w:style w:type="character" w:styleId="PageNumber">
    <w:name w:val="page number"/>
    <w:basedOn w:val="DefaultParagraphFont"/>
  </w:style>
  <w:style w:type="paragraph" w:customStyle="1" w:styleId="ReLine">
    <w:name w:val="ReLine"/>
    <w:basedOn w:val="Normal"/>
    <w:pPr>
      <w:ind w:left="720" w:right="1440" w:hanging="720"/>
    </w:pPr>
    <w:rPr>
      <w:b/>
      <w:bCs/>
    </w:rPr>
  </w:style>
  <w:style w:type="paragraph" w:styleId="Salutation">
    <w:name w:val="Salutation"/>
    <w:basedOn w:val="Normal"/>
    <w:next w:val="BodyTextFirstIndent"/>
    <w:pPr>
      <w:spacing w:after="240"/>
    </w:pPr>
  </w:style>
  <w:style w:type="paragraph" w:styleId="Subtitle">
    <w:name w:val="Subtitle"/>
    <w:basedOn w:val="Normal"/>
    <w:next w:val="BodyText"/>
    <w:qFormat/>
    <w:pPr>
      <w:spacing w:after="480"/>
      <w:jc w:val="center"/>
    </w:pPr>
    <w:rPr>
      <w:b/>
      <w:kern w:val="28"/>
    </w:rPr>
  </w:style>
  <w:style w:type="paragraph" w:styleId="Title">
    <w:name w:val="Title"/>
    <w:basedOn w:val="Normal"/>
    <w:next w:val="BodyText"/>
    <w:link w:val="TitleChar"/>
    <w:uiPriority w:val="10"/>
    <w:qFormat/>
    <w:pPr>
      <w:spacing w:after="480"/>
      <w:jc w:val="center"/>
    </w:pPr>
    <w:rPr>
      <w:b/>
      <w:smallCaps/>
      <w:kern w:val="28"/>
      <w:sz w:val="30"/>
    </w:rPr>
  </w:style>
  <w:style w:type="paragraph" w:styleId="TOC1">
    <w:name w:val="toc 1"/>
    <w:basedOn w:val="Normal"/>
    <w:next w:val="Normal"/>
    <w:autoRedefine/>
    <w:semiHidden/>
    <w:pPr>
      <w:keepNext/>
      <w:tabs>
        <w:tab w:val="left" w:pos="720"/>
        <w:tab w:val="right" w:leader="dot" w:pos="9360"/>
      </w:tabs>
      <w:spacing w:before="240"/>
      <w:ind w:left="720" w:right="720" w:hanging="720"/>
    </w:pPr>
    <w:rPr>
      <w:b/>
    </w:rPr>
  </w:style>
  <w:style w:type="paragraph" w:styleId="TOC2">
    <w:name w:val="toc 2"/>
    <w:basedOn w:val="Normal"/>
    <w:next w:val="Normal"/>
    <w:autoRedefine/>
    <w:semiHidden/>
    <w:pPr>
      <w:tabs>
        <w:tab w:val="left" w:pos="1440"/>
        <w:tab w:val="right" w:leader="dot" w:pos="9360"/>
      </w:tabs>
      <w:ind w:left="1440" w:right="720" w:hanging="720"/>
    </w:pPr>
  </w:style>
  <w:style w:type="paragraph" w:styleId="TOC3">
    <w:name w:val="toc 3"/>
    <w:basedOn w:val="Normal"/>
    <w:next w:val="Normal"/>
    <w:autoRedefine/>
    <w:semiHidden/>
    <w:pPr>
      <w:tabs>
        <w:tab w:val="right" w:leader="dot" w:pos="9360"/>
      </w:tabs>
      <w:ind w:left="2160" w:right="720" w:hanging="720"/>
    </w:pPr>
  </w:style>
  <w:style w:type="paragraph" w:styleId="TOC4">
    <w:name w:val="toc 4"/>
    <w:basedOn w:val="Normal"/>
    <w:next w:val="Normal"/>
    <w:autoRedefine/>
    <w:semiHidden/>
    <w:pPr>
      <w:tabs>
        <w:tab w:val="right" w:leader="dot" w:pos="9360"/>
      </w:tabs>
      <w:ind w:left="2880" w:right="720" w:hanging="720"/>
    </w:pPr>
  </w:style>
  <w:style w:type="paragraph" w:styleId="TOC5">
    <w:name w:val="toc 5"/>
    <w:basedOn w:val="Normal"/>
    <w:next w:val="Normal"/>
    <w:autoRedefine/>
    <w:semiHidden/>
    <w:pPr>
      <w:tabs>
        <w:tab w:val="right" w:leader="dot" w:pos="9360"/>
      </w:tabs>
      <w:ind w:left="3600" w:right="720" w:hanging="720"/>
    </w:pPr>
  </w:style>
  <w:style w:type="paragraph" w:styleId="TOC6">
    <w:name w:val="toc 6"/>
    <w:basedOn w:val="Normal"/>
    <w:next w:val="Normal"/>
    <w:autoRedefine/>
    <w:semiHidden/>
    <w:pPr>
      <w:tabs>
        <w:tab w:val="right" w:leader="dot" w:pos="9360"/>
      </w:tabs>
      <w:ind w:left="4320" w:right="720" w:hanging="720"/>
    </w:pPr>
  </w:style>
  <w:style w:type="paragraph" w:styleId="TOC7">
    <w:name w:val="toc 7"/>
    <w:basedOn w:val="Normal"/>
    <w:next w:val="Normal"/>
    <w:autoRedefine/>
    <w:semiHidden/>
    <w:pPr>
      <w:tabs>
        <w:tab w:val="right" w:leader="dot" w:pos="9360"/>
      </w:tabs>
      <w:ind w:left="5040" w:right="720" w:hanging="720"/>
    </w:pPr>
  </w:style>
  <w:style w:type="paragraph" w:styleId="TOC8">
    <w:name w:val="toc 8"/>
    <w:basedOn w:val="Normal"/>
    <w:next w:val="Normal"/>
    <w:autoRedefine/>
    <w:semiHidden/>
    <w:pPr>
      <w:tabs>
        <w:tab w:val="right" w:leader="dot" w:pos="9360"/>
      </w:tabs>
      <w:ind w:left="5760" w:right="720" w:hanging="720"/>
    </w:pPr>
  </w:style>
  <w:style w:type="paragraph" w:styleId="TOC9">
    <w:name w:val="toc 9"/>
    <w:basedOn w:val="Normal"/>
    <w:next w:val="Normal"/>
    <w:autoRedefine/>
    <w:semiHidden/>
    <w:pPr>
      <w:tabs>
        <w:tab w:val="right" w:leader="dot" w:pos="9360"/>
      </w:tabs>
      <w:ind w:left="6480" w:right="720" w:hanging="720"/>
    </w:pPr>
  </w:style>
  <w:style w:type="character" w:styleId="FootnoteReference">
    <w:name w:val="footnote reference"/>
    <w:semiHidden/>
    <w:rPr>
      <w:vertAlign w:val="superscript"/>
    </w:rPr>
  </w:style>
  <w:style w:type="paragraph" w:customStyle="1" w:styleId="Subparagraph">
    <w:name w:val="Subparagraph"/>
    <w:basedOn w:val="Normal"/>
    <w:pPr>
      <w:keepNext/>
      <w:tabs>
        <w:tab w:val="left" w:pos="360"/>
      </w:tabs>
      <w:spacing w:after="240"/>
      <w:ind w:left="720"/>
    </w:pPr>
    <w:rPr>
      <w:i/>
      <w:iCs/>
      <w:u w:val="single"/>
    </w:rPr>
  </w:style>
  <w:style w:type="character" w:styleId="Strong">
    <w:name w:val="Strong"/>
    <w:qFormat/>
    <w:rPr>
      <w:b/>
      <w:bCs/>
    </w:rPr>
  </w:style>
  <w:style w:type="paragraph" w:customStyle="1" w:styleId="3">
    <w:name w:val="3"/>
    <w:basedOn w:val="Heading2"/>
    <w:pPr>
      <w:tabs>
        <w:tab w:val="clear" w:pos="1080"/>
      </w:tabs>
      <w:ind w:hanging="360"/>
    </w:pPr>
  </w:style>
  <w:style w:type="character" w:styleId="Hyperlink">
    <w:name w:val="Hyperlink"/>
    <w:uiPriority w:val="99"/>
    <w:rPr>
      <w:color w:val="0000FF"/>
      <w:u w:val="single"/>
    </w:rPr>
  </w:style>
  <w:style w:type="paragraph" w:customStyle="1" w:styleId="Default">
    <w:name w:val="Default"/>
    <w:pPr>
      <w:autoSpaceDE w:val="0"/>
      <w:autoSpaceDN w:val="0"/>
      <w:adjustRightInd w:val="0"/>
    </w:pPr>
    <w:rPr>
      <w:rFonts w:ascii="SymbolMT" w:hAnsi="SymbolMT"/>
      <w:sz w:val="22"/>
      <w:szCs w:val="22"/>
    </w:rPr>
  </w:style>
  <w:style w:type="character" w:styleId="FollowedHyperlink">
    <w:name w:val="FollowedHyperlink"/>
    <w:rPr>
      <w:color w:val="800080"/>
      <w:u w:val="single"/>
    </w:rPr>
  </w:style>
  <w:style w:type="paragraph" w:customStyle="1" w:styleId="Blockquote">
    <w:name w:val="Blockquote"/>
    <w:basedOn w:val="Normal"/>
    <w:pPr>
      <w:autoSpaceDE w:val="0"/>
      <w:autoSpaceDN w:val="0"/>
      <w:adjustRightInd w:val="0"/>
      <w:spacing w:before="100" w:after="100"/>
      <w:ind w:left="360" w:right="360"/>
    </w:pPr>
    <w:rPr>
      <w:szCs w:val="24"/>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a"/>
    <w:basedOn w:val="Normal"/>
    <w:link w:val="DefaultParagraphFont"/>
    <w:pPr>
      <w:tabs>
        <w:tab w:val="left" w:pos="540"/>
        <w:tab w:val="left" w:pos="1260"/>
        <w:tab w:val="left" w:pos="1800"/>
      </w:tabs>
      <w:spacing w:before="240" w:after="160" w:line="240" w:lineRule="exact"/>
    </w:pPr>
    <w:rPr>
      <w:rFonts w:ascii="Verdana" w:hAnsi="Verdana"/>
    </w:rPr>
  </w:style>
  <w:style w:type="character" w:customStyle="1" w:styleId="DocID">
    <w:name w:val="DocID"/>
    <w:rPr>
      <w:sz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D421FA"/>
    <w:rPr>
      <w:sz w:val="24"/>
    </w:rPr>
  </w:style>
  <w:style w:type="character" w:customStyle="1" w:styleId="TitleChar">
    <w:name w:val="Title Char"/>
    <w:link w:val="Title"/>
    <w:uiPriority w:val="10"/>
    <w:rsid w:val="004C452D"/>
    <w:rPr>
      <w:b/>
      <w:smallCaps/>
      <w:kern w:val="28"/>
      <w:sz w:val="30"/>
    </w:rPr>
  </w:style>
  <w:style w:type="paragraph" w:customStyle="1" w:styleId="Subtitle-NoTOC">
    <w:name w:val="Subtitle-NoTOC"/>
    <w:basedOn w:val="Subtitle"/>
    <w:rsid w:val="004C452D"/>
    <w:pPr>
      <w:framePr w:hSpace="187" w:wrap="around" w:vAnchor="page" w:hAnchor="page" w:x="1081" w:y="721"/>
      <w:tabs>
        <w:tab w:val="center" w:pos="4680"/>
        <w:tab w:val="right" w:pos="9360"/>
      </w:tabs>
      <w:spacing w:after="0"/>
      <w:suppressOverlap/>
      <w:jc w:val="left"/>
    </w:pPr>
    <w:rPr>
      <w:rFonts w:ascii="TradeGothic LT Bold" w:eastAsia="Calibri" w:hAnsi="TradeGothic LT Bold"/>
      <w:b w:val="0"/>
      <w:caps/>
      <w:kern w:val="0"/>
      <w:sz w:val="30"/>
      <w:szCs w:val="24"/>
    </w:rPr>
  </w:style>
  <w:style w:type="character" w:customStyle="1" w:styleId="FooterChar">
    <w:name w:val="Footer Char"/>
    <w:link w:val="Footer"/>
    <w:uiPriority w:val="99"/>
    <w:rsid w:val="004C452D"/>
    <w:rPr>
      <w:sz w:val="24"/>
    </w:rPr>
  </w:style>
  <w:style w:type="paragraph" w:customStyle="1" w:styleId="TitleSecondpages">
    <w:name w:val="Title Second pages"/>
    <w:qFormat/>
    <w:rsid w:val="00C678FA"/>
    <w:rPr>
      <w:rFonts w:ascii="TradeGothic LT Bold" w:eastAsia="Calibri" w:hAnsi="TradeGothic LT Bold"/>
      <w:caps/>
      <w:color w:val="7FADBC"/>
      <w:sz w:val="30"/>
      <w:szCs w:val="28"/>
    </w:rPr>
  </w:style>
  <w:style w:type="paragraph" w:styleId="PlainText">
    <w:name w:val="Plain Text"/>
    <w:basedOn w:val="Normal"/>
    <w:link w:val="PlainTextChar"/>
    <w:uiPriority w:val="99"/>
    <w:unhideWhenUsed/>
    <w:rsid w:val="001F13BD"/>
    <w:rPr>
      <w:rFonts w:ascii="Consolas" w:hAnsi="Consolas" w:cs="Times New Roman"/>
      <w:sz w:val="21"/>
      <w:szCs w:val="21"/>
    </w:rPr>
  </w:style>
  <w:style w:type="character" w:customStyle="1" w:styleId="PlainTextChar">
    <w:name w:val="Plain Text Char"/>
    <w:link w:val="PlainText"/>
    <w:uiPriority w:val="99"/>
    <w:rsid w:val="001F13BD"/>
    <w:rPr>
      <w:rFonts w:ascii="Consolas" w:hAnsi="Consolas"/>
      <w:sz w:val="21"/>
      <w:szCs w:val="21"/>
    </w:rPr>
  </w:style>
  <w:style w:type="character" w:customStyle="1" w:styleId="HeaderChar">
    <w:name w:val="Header Char"/>
    <w:link w:val="Header"/>
    <w:uiPriority w:val="99"/>
    <w:rsid w:val="004A3FF1"/>
    <w:rPr>
      <w:sz w:val="24"/>
    </w:rPr>
  </w:style>
  <w:style w:type="character" w:customStyle="1" w:styleId="Heading1Char">
    <w:name w:val="Heading 1 Char"/>
    <w:link w:val="Heading1"/>
    <w:rsid w:val="004A3FF1"/>
    <w:rPr>
      <w:b/>
      <w:sz w:val="24"/>
      <w:u w:val="single"/>
    </w:rPr>
  </w:style>
  <w:style w:type="paragraph" w:customStyle="1" w:styleId="HeadingSubtitle-TOC2">
    <w:name w:val="Heading Subtitle - TOC 2"/>
    <w:qFormat/>
    <w:rsid w:val="004A3FF1"/>
    <w:pPr>
      <w:spacing w:before="120" w:after="600" w:line="240" w:lineRule="atLeast"/>
      <w:ind w:left="1152"/>
      <w:outlineLvl w:val="1"/>
    </w:pPr>
    <w:rPr>
      <w:rFonts w:ascii="Arial Bold" w:hAnsi="Arial Bold"/>
      <w:b/>
      <w:bCs/>
      <w:caps/>
      <w:sz w:val="30"/>
      <w:szCs w:val="26"/>
    </w:rPr>
  </w:style>
  <w:style w:type="paragraph" w:customStyle="1" w:styleId="GHdrSubtitle2">
    <w:name w:val="G_Hdr_Subtitle2"/>
    <w:qFormat/>
    <w:rsid w:val="004A3FF1"/>
    <w:pPr>
      <w:tabs>
        <w:tab w:val="left" w:pos="4143"/>
      </w:tabs>
      <w:spacing w:before="40" w:after="480" w:line="240" w:lineRule="atLeast"/>
      <w:ind w:left="1188"/>
    </w:pPr>
    <w:rPr>
      <w:rFonts w:ascii="Arial Bold" w:eastAsia="Calibri" w:hAnsi="Arial Bold"/>
      <w:b/>
      <w:caps/>
      <w:color w:val="FFFFFF"/>
      <w:sz w:val="30"/>
      <w:szCs w:val="22"/>
    </w:rPr>
  </w:style>
  <w:style w:type="paragraph" w:customStyle="1" w:styleId="MacPacTrailer">
    <w:name w:val="MacPac Trailer"/>
    <w:basedOn w:val="Normal"/>
    <w:rsid w:val="00542A53"/>
    <w:pPr>
      <w:widowControl w:val="0"/>
    </w:pPr>
    <w:rPr>
      <w:sz w:val="16"/>
    </w:rPr>
  </w:style>
  <w:style w:type="character" w:styleId="PlaceholderText">
    <w:name w:val="Placeholder Text"/>
    <w:uiPriority w:val="99"/>
    <w:semiHidden/>
    <w:rsid w:val="00542A53"/>
    <w:rPr>
      <w:color w:val="808080"/>
    </w:rPr>
  </w:style>
  <w:style w:type="character" w:styleId="UnresolvedMention">
    <w:name w:val="Unresolved Mention"/>
    <w:uiPriority w:val="99"/>
    <w:semiHidden/>
    <w:unhideWhenUsed/>
    <w:rsid w:val="00764E0E"/>
    <w:rPr>
      <w:color w:val="808080"/>
      <w:shd w:val="clear" w:color="auto" w:fill="E6E6E6"/>
    </w:rPr>
  </w:style>
  <w:style w:type="paragraph" w:styleId="NormalWeb">
    <w:name w:val="Normal (Web)"/>
    <w:basedOn w:val="Normal"/>
    <w:uiPriority w:val="99"/>
    <w:unhideWhenUsed/>
    <w:rsid w:val="00972992"/>
    <w:pPr>
      <w:spacing w:before="100" w:beforeAutospacing="1" w:after="100" w:afterAutospacing="1"/>
    </w:pPr>
    <w:rPr>
      <w:szCs w:val="24"/>
    </w:rPr>
  </w:style>
  <w:style w:type="character" w:styleId="CommentReference">
    <w:name w:val="annotation reference"/>
    <w:rsid w:val="002337BC"/>
    <w:rPr>
      <w:sz w:val="16"/>
      <w:szCs w:val="16"/>
    </w:rPr>
  </w:style>
  <w:style w:type="paragraph" w:styleId="CommentText">
    <w:name w:val="annotation text"/>
    <w:basedOn w:val="Normal"/>
    <w:link w:val="CommentTextChar"/>
    <w:rsid w:val="002337BC"/>
    <w:rPr>
      <w:sz w:val="20"/>
    </w:rPr>
  </w:style>
  <w:style w:type="character" w:customStyle="1" w:styleId="CommentTextChar">
    <w:name w:val="Comment Text Char"/>
    <w:basedOn w:val="DefaultParagraphFont"/>
    <w:link w:val="CommentText"/>
    <w:rsid w:val="002337BC"/>
  </w:style>
  <w:style w:type="paragraph" w:styleId="CommentSubject">
    <w:name w:val="annotation subject"/>
    <w:basedOn w:val="CommentText"/>
    <w:next w:val="CommentText"/>
    <w:link w:val="CommentSubjectChar"/>
    <w:rsid w:val="002337BC"/>
    <w:rPr>
      <w:b/>
      <w:bCs/>
    </w:rPr>
  </w:style>
  <w:style w:type="character" w:customStyle="1" w:styleId="CommentSubjectChar">
    <w:name w:val="Comment Subject Char"/>
    <w:link w:val="CommentSubject"/>
    <w:rsid w:val="002337BC"/>
    <w:rPr>
      <w:b/>
      <w:bCs/>
    </w:rPr>
  </w:style>
  <w:style w:type="paragraph" w:styleId="Revision">
    <w:name w:val="Revision"/>
    <w:hidden/>
    <w:uiPriority w:val="99"/>
    <w:semiHidden/>
    <w:rsid w:val="002337BC"/>
    <w:rPr>
      <w:sz w:val="24"/>
      <w:szCs w:val="22"/>
    </w:rPr>
  </w:style>
  <w:style w:type="character" w:customStyle="1" w:styleId="BalloonTextChar">
    <w:name w:val="Balloon Text Char"/>
    <w:link w:val="BalloonText"/>
    <w:uiPriority w:val="99"/>
    <w:semiHidden/>
    <w:rsid w:val="00903001"/>
    <w:rPr>
      <w:rFonts w:ascii="Tahoma" w:hAnsi="Tahoma" w:cs="Tahoma"/>
      <w:sz w:val="16"/>
      <w:szCs w:val="16"/>
    </w:rPr>
  </w:style>
  <w:style w:type="paragraph" w:customStyle="1" w:styleId="psection-1">
    <w:name w:val="psection-1"/>
    <w:basedOn w:val="Normal"/>
    <w:rsid w:val="0007020A"/>
    <w:pPr>
      <w:spacing w:before="100" w:beforeAutospacing="1" w:after="100" w:afterAutospacing="1"/>
    </w:pPr>
    <w:rPr>
      <w:szCs w:val="24"/>
    </w:rPr>
  </w:style>
  <w:style w:type="character" w:customStyle="1" w:styleId="enumxml">
    <w:name w:val="enumxml"/>
    <w:basedOn w:val="DefaultParagraphFont"/>
    <w:rsid w:val="0007020A"/>
  </w:style>
  <w:style w:type="paragraph" w:customStyle="1" w:styleId="psection-3">
    <w:name w:val="psection-3"/>
    <w:basedOn w:val="Normal"/>
    <w:rsid w:val="0007020A"/>
    <w:pPr>
      <w:spacing w:before="100" w:beforeAutospacing="1" w:after="100" w:afterAutospacing="1"/>
    </w:pPr>
    <w:rPr>
      <w:szCs w:val="24"/>
    </w:rPr>
  </w:style>
  <w:style w:type="paragraph" w:customStyle="1" w:styleId="GW-Bullets">
    <w:name w:val="GW-Bullets"/>
    <w:basedOn w:val="Normal"/>
    <w:uiPriority w:val="14"/>
    <w:rsid w:val="00362B36"/>
    <w:pPr>
      <w:numPr>
        <w:numId w:val="19"/>
      </w:numPr>
      <w:spacing w:after="240" w:line="280" w:lineRule="atLeast"/>
    </w:pPr>
    <w:rPr>
      <w:rFonts w:ascii="Arial" w:eastAsia="Arial" w:hAnsi="Arial" w:cs="Times New Roman"/>
      <w:color w:val="2D3539"/>
    </w:rPr>
  </w:style>
  <w:style w:type="paragraph" w:customStyle="1" w:styleId="Goodwin-BulletedList">
    <w:name w:val="Goodwin-BulletedList"/>
    <w:basedOn w:val="GW-Bullets"/>
    <w:link w:val="Goodwin-BulletedListChar"/>
    <w:qFormat/>
    <w:rsid w:val="00362B36"/>
    <w:rPr>
      <w:color w:val="000000"/>
    </w:rPr>
  </w:style>
  <w:style w:type="character" w:customStyle="1" w:styleId="Goodwin-BulletedListChar">
    <w:name w:val="Goodwin-BulletedList Char"/>
    <w:link w:val="Goodwin-BulletedList"/>
    <w:rsid w:val="00362B36"/>
    <w:rPr>
      <w:rFonts w:ascii="Arial" w:eastAsia="Arial" w:hAnsi="Arial"/>
      <w:color w:val="000000"/>
      <w:sz w:val="22"/>
      <w:szCs w:val="22"/>
    </w:rPr>
  </w:style>
  <w:style w:type="paragraph" w:styleId="ListParagraph">
    <w:name w:val="List Paragraph"/>
    <w:basedOn w:val="Normal"/>
    <w:uiPriority w:val="34"/>
    <w:qFormat/>
    <w:rsid w:val="002F41E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s://www.ecfr.gov/current/title-17/chapter-II/part-244" TargetMode="External"/><Relationship Id="rId21" Type="http://schemas.openxmlformats.org/officeDocument/2006/relationships/hyperlink" Target="https://www.goodwinlaw.com/en/insights/publications/2022/10/10_31-sec-adopts-final-rules-requiring-disclosure" TargetMode="External"/><Relationship Id="rId42" Type="http://schemas.openxmlformats.org/officeDocument/2006/relationships/hyperlink" Target="https://www.sec.gov/rules/final/2018/33-10514.pdf" TargetMode="External"/><Relationship Id="rId63" Type="http://schemas.openxmlformats.org/officeDocument/2006/relationships/hyperlink" Target="https://www.sec.gov/rules/interp/2018/33-10459.pdf" TargetMode="External"/><Relationship Id="rId84" Type="http://schemas.openxmlformats.org/officeDocument/2006/relationships/hyperlink" Target="https://www.sec.gov/news/public-statement/statement-enforcement-co-directors-market-integrity" TargetMode="External"/><Relationship Id="rId138" Type="http://schemas.openxmlformats.org/officeDocument/2006/relationships/hyperlink" Target="https://www.ecfr.gov/current/title-17/chapter-II/part-229" TargetMode="External"/><Relationship Id="rId159" Type="http://schemas.openxmlformats.org/officeDocument/2006/relationships/hyperlink" Target="https://www.ecfr.gov/current/title-17/chapter-II/part-229" TargetMode="External"/><Relationship Id="rId170" Type="http://schemas.openxmlformats.org/officeDocument/2006/relationships/hyperlink" Target="https://www.sec.gov/rules/final/33-8177.htm" TargetMode="External"/><Relationship Id="rId191" Type="http://schemas.openxmlformats.org/officeDocument/2006/relationships/hyperlink" Target="https://www.goodwinlaw.com/minisites/year-end-tool-kit" TargetMode="External"/><Relationship Id="rId205" Type="http://schemas.openxmlformats.org/officeDocument/2006/relationships/hyperlink" Target="https://www.goodwinlaw.com/publications/2019/08/08_28-inline-xbrl-interpretations-issued-by-sec" TargetMode="External"/><Relationship Id="rId226" Type="http://schemas.openxmlformats.org/officeDocument/2006/relationships/hyperlink" Target="https://www.sec.gov/structureddata/announcement/osd-announcement-111919-data-quality-reminder" TargetMode="External"/><Relationship Id="rId107" Type="http://schemas.openxmlformats.org/officeDocument/2006/relationships/hyperlink" Target="https://www.ecfr.gov/current/title-17/chapter-II/part-229" TargetMode="External"/><Relationship Id="rId11" Type="http://schemas.openxmlformats.org/officeDocument/2006/relationships/footer" Target="footer3.xml"/><Relationship Id="rId32" Type="http://schemas.openxmlformats.org/officeDocument/2006/relationships/hyperlink" Target="https://www.sec.gov/forms" TargetMode="External"/><Relationship Id="rId53" Type="http://schemas.openxmlformats.org/officeDocument/2006/relationships/hyperlink" Target="https://www.sec.gov/divisions/corpfin/guidance/cfjjobsactfaq-title-i-general.htm" TargetMode="External"/><Relationship Id="rId74" Type="http://schemas.openxmlformats.org/officeDocument/2006/relationships/hyperlink" Target="https://www.ecfr.gov/current/title-17/chapter-II/part-229" TargetMode="External"/><Relationship Id="rId128" Type="http://schemas.openxmlformats.org/officeDocument/2006/relationships/hyperlink" Target="https://www.ecfr.gov/current/title-17/chapter-II/part-229" TargetMode="External"/><Relationship Id="rId149" Type="http://schemas.openxmlformats.org/officeDocument/2006/relationships/hyperlink" Target="https://pcaobus.org/Standards/Auditing/Pages/AS3101.aspx" TargetMode="External"/><Relationship Id="rId5" Type="http://schemas.openxmlformats.org/officeDocument/2006/relationships/footnotes" Target="footnotes.xml"/><Relationship Id="rId95" Type="http://schemas.openxmlformats.org/officeDocument/2006/relationships/hyperlink" Target="https://www.sec.gov/news/statement/staff-statement-libor-transition-20211207" TargetMode="External"/><Relationship Id="rId160" Type="http://schemas.openxmlformats.org/officeDocument/2006/relationships/hyperlink" Target="https://www.sec.gov/divisions/corpfin/guidance/8-kinterp.htm" TargetMode="External"/><Relationship Id="rId181" Type="http://schemas.openxmlformats.org/officeDocument/2006/relationships/hyperlink" Target="https://www.ecfr.gov/current/title-17/chapter-II/part-229" TargetMode="External"/><Relationship Id="rId216" Type="http://schemas.openxmlformats.org/officeDocument/2006/relationships/hyperlink" Target="https://www.goodwinlaw.com/publications/2019/04/04_04-disclosure-simplification-round-two" TargetMode="External"/><Relationship Id="rId237" Type="http://schemas.openxmlformats.org/officeDocument/2006/relationships/footer" Target="footer6.xml"/><Relationship Id="rId22" Type="http://schemas.openxmlformats.org/officeDocument/2006/relationships/hyperlink" Target="https://www.sec.gov/corpfin/sample-letter-companies-pertaining-to-ukraine" TargetMode="External"/><Relationship Id="rId43" Type="http://schemas.openxmlformats.org/officeDocument/2006/relationships/hyperlink" Target="https://www.goodwinlaw.com/publications/2018/07/07_24-sec-adopts-mandatory-inline-xbrl" TargetMode="External"/><Relationship Id="rId64" Type="http://schemas.openxmlformats.org/officeDocument/2006/relationships/hyperlink" Target="https://www.sec.gov/rules/interp/2010/33-9106.pdf" TargetMode="External"/><Relationship Id="rId118" Type="http://schemas.openxmlformats.org/officeDocument/2006/relationships/hyperlink" Target="https://www.ecfr.gov/current/title-17/chapter-II/part-229" TargetMode="External"/><Relationship Id="rId139" Type="http://schemas.openxmlformats.org/officeDocument/2006/relationships/hyperlink" Target="https://www.sec.gov/rules/final/2020/33-10890.pdf" TargetMode="External"/><Relationship Id="rId85" Type="http://schemas.openxmlformats.org/officeDocument/2006/relationships/hyperlink" Target="https://www.sec.gov/corpfin/risks-technology-intellectual-property-international-business-operations" TargetMode="External"/><Relationship Id="rId150" Type="http://schemas.openxmlformats.org/officeDocument/2006/relationships/hyperlink" Target="https://pcaobus.org/News/Releases/Pages/auditors-report-standard-adoption-6-1-17.aspx" TargetMode="External"/><Relationship Id="rId171" Type="http://schemas.openxmlformats.org/officeDocument/2006/relationships/hyperlink" Target="https://www.ecfr.gov/current/title-17/chapter-II/part-229/subpart-229.400/section-229.406" TargetMode="External"/><Relationship Id="rId192" Type="http://schemas.openxmlformats.org/officeDocument/2006/relationships/hyperlink" Target="https://www.ecfr.gov/current/title-17/chapter-II/part-240" TargetMode="External"/><Relationship Id="rId206" Type="http://schemas.openxmlformats.org/officeDocument/2006/relationships/hyperlink" Target="https://www.sec.gov/rules/final/2017/33-10322.pdf" TargetMode="External"/><Relationship Id="rId227" Type="http://schemas.openxmlformats.org/officeDocument/2006/relationships/hyperlink" Target="https://www.sec.gov/structureddata/osdstaffobsandguide" TargetMode="External"/><Relationship Id="rId12" Type="http://schemas.openxmlformats.org/officeDocument/2006/relationships/hyperlink" Target="https://www.sec.gov/rules/final/2022/33-11070.pdf" TargetMode="External"/><Relationship Id="rId33" Type="http://schemas.openxmlformats.org/officeDocument/2006/relationships/hyperlink" Target="https://www.ecfr.gov/current/title-17/chapter-II/part-240" TargetMode="External"/><Relationship Id="rId108" Type="http://schemas.openxmlformats.org/officeDocument/2006/relationships/hyperlink" Target="https://www.ecfr.gov/current/title-17/chapter-II/part-229" TargetMode="External"/><Relationship Id="rId129" Type="http://schemas.openxmlformats.org/officeDocument/2006/relationships/hyperlink" Target="https://www.ecfr.gov/current/title-17/chapter-II/part-229" TargetMode="External"/><Relationship Id="rId54" Type="http://schemas.openxmlformats.org/officeDocument/2006/relationships/hyperlink" Target="https://www.goodwinlaw.com/-/media/files/publications/03_25_20-sec-exempts-srcs-from-sox-404.pdf" TargetMode="External"/><Relationship Id="rId75" Type="http://schemas.openxmlformats.org/officeDocument/2006/relationships/hyperlink" Target="https://www.goodwinlaw.com/publications/2020/09/09_23-sec-adopts-third-round-of-disclosure" TargetMode="External"/><Relationship Id="rId96" Type="http://schemas.openxmlformats.org/officeDocument/2006/relationships/hyperlink" Target="https://www.ecfr.gov/current/title-17/chapter-II/part-229" TargetMode="External"/><Relationship Id="rId140" Type="http://schemas.openxmlformats.org/officeDocument/2006/relationships/hyperlink" Target="https://www.goodwinlaw.com/publications/2020/12/12_10-sec-amends-md-a-and-other-financial" TargetMode="External"/><Relationship Id="rId161" Type="http://schemas.openxmlformats.org/officeDocument/2006/relationships/hyperlink" Target="http://www.sec.gov/HFCAA" TargetMode="External"/><Relationship Id="rId182" Type="http://schemas.openxmlformats.org/officeDocument/2006/relationships/hyperlink" Target="https://www.ecfr.gov/current/title-17/chapter-II/part-229" TargetMode="External"/><Relationship Id="rId217" Type="http://schemas.openxmlformats.org/officeDocument/2006/relationships/hyperlink" Target="https://www.ecfr.gov/current/title-17/chapter-II/part-229" TargetMode="External"/><Relationship Id="rId6" Type="http://schemas.openxmlformats.org/officeDocument/2006/relationships/endnotes" Target="endnotes.xml"/><Relationship Id="rId238" Type="http://schemas.openxmlformats.org/officeDocument/2006/relationships/fontTable" Target="fontTable.xml"/><Relationship Id="rId23" Type="http://schemas.openxmlformats.org/officeDocument/2006/relationships/hyperlink" Target="https://www.sec.gov/corpfin/sample-letter-climate-change-disclosures?utm_medium=email&amp;utm_source=govdelivery" TargetMode="External"/><Relationship Id="rId119" Type="http://schemas.openxmlformats.org/officeDocument/2006/relationships/hyperlink" Target="https://www.sec.gov/corpfin/non-gaap-financial-measures" TargetMode="External"/><Relationship Id="rId44" Type="http://schemas.openxmlformats.org/officeDocument/2006/relationships/hyperlink" Target="https://www.sec.gov/corpfin/interactive-data-cdi" TargetMode="External"/><Relationship Id="rId65" Type="http://schemas.openxmlformats.org/officeDocument/2006/relationships/hyperlink" Target="https://www.sec.gov/corpfin/sample-letter-climate-change-disclosures?utm_medium=email&amp;utm_source=govdelivery" TargetMode="External"/><Relationship Id="rId86" Type="http://schemas.openxmlformats.org/officeDocument/2006/relationships/hyperlink" Target="https://www.sec.gov/litigation/investreport/34-84429.pdf" TargetMode="External"/><Relationship Id="rId130" Type="http://schemas.openxmlformats.org/officeDocument/2006/relationships/hyperlink" Target="https://www.ecfr.gov/current/title-17/chapter-II/part-229" TargetMode="External"/><Relationship Id="rId151" Type="http://schemas.openxmlformats.org/officeDocument/2006/relationships/hyperlink" Target="https://www.google.com/url?sa=t&amp;rct=j&amp;q=&amp;esrc=s&amp;source=web&amp;cd=3&amp;ved=2ahUKEwj6u7j684jnAhULqlkKHfBZACgQFjACegQIDBAF&amp;url=https%3A%2F%2Fpcaobus.org%2FStandards%2FDocuments%2FImplementation-of-Critical-Audit-Matters-The-Basics.pdf&amp;usg=AOvVaw1vzb4PQjahOoGGVMzol9N4" TargetMode="External"/><Relationship Id="rId172" Type="http://schemas.openxmlformats.org/officeDocument/2006/relationships/hyperlink" Target="https://www.ecfr.gov/current/title-17/chapter-II/part-229/subpart-229.400/section-229.406" TargetMode="External"/><Relationship Id="rId193" Type="http://schemas.openxmlformats.org/officeDocument/2006/relationships/hyperlink" Target="https://www.ecfr.gov/current/title-17/chapter-II/part-229" TargetMode="External"/><Relationship Id="rId207" Type="http://schemas.openxmlformats.org/officeDocument/2006/relationships/hyperlink" Target="https://www.goodwinlaw.com/publications/2017/03/03_06_17-sec-adopts-mandatory-exhibit-hyperlinks" TargetMode="External"/><Relationship Id="rId228" Type="http://schemas.openxmlformats.org/officeDocument/2006/relationships/hyperlink" Target="https://www.ecfr.gov/current/title-17/chapter-II/part-229" TargetMode="External"/><Relationship Id="rId13" Type="http://schemas.openxmlformats.org/officeDocument/2006/relationships/hyperlink" Target="https://www.sec.gov/divisions/corpfin/guidance/exchange-act-rule-14a3-14c3.htm" TargetMode="External"/><Relationship Id="rId109" Type="http://schemas.openxmlformats.org/officeDocument/2006/relationships/hyperlink" Target="https://www.sec.gov/divisions/corpfin/guidance/regs-kinterp.htm" TargetMode="External"/><Relationship Id="rId34" Type="http://schemas.openxmlformats.org/officeDocument/2006/relationships/hyperlink" Target="https://www.ecfr.gov/current/title-17/chapter-II/part-240" TargetMode="External"/><Relationship Id="rId55" Type="http://schemas.openxmlformats.org/officeDocument/2006/relationships/hyperlink" Target="https://www.ecfr.gov/current/title-17/chapter-II/part-240" TargetMode="External"/><Relationship Id="rId76" Type="http://schemas.openxmlformats.org/officeDocument/2006/relationships/hyperlink" Target="https://www.sec.gov/news/press-release/2019-194" TargetMode="External"/><Relationship Id="rId97" Type="http://schemas.openxmlformats.org/officeDocument/2006/relationships/hyperlink" Target="https://www.ecfr.gov/current/title-17/chapter-II/part-229" TargetMode="External"/><Relationship Id="rId120" Type="http://schemas.openxmlformats.org/officeDocument/2006/relationships/hyperlink" Target="https://www.goodwinlaw.com/en/insights/publications/2022/12/12_20-sec-new-non-gaap-financial-measures-guidance" TargetMode="External"/><Relationship Id="rId141" Type="http://schemas.openxmlformats.org/officeDocument/2006/relationships/hyperlink" Target="https://pcaobus.org/Rulemaking/Docket034/2017-001-auditors-report-final-rule.pdf" TargetMode="External"/><Relationship Id="rId7" Type="http://schemas.openxmlformats.org/officeDocument/2006/relationships/header" Target="header1.xml"/><Relationship Id="rId162" Type="http://schemas.openxmlformats.org/officeDocument/2006/relationships/hyperlink" Target="https://www.goodwinlaw.com/publications/2021/12/12_30-sec-and-pcaob-prepare-to-implement" TargetMode="External"/><Relationship Id="rId183" Type="http://schemas.openxmlformats.org/officeDocument/2006/relationships/hyperlink" Target="https://www.ecfr.gov/current/title-17/chapter-II/part-229/subpart-229.400/section-229.407" TargetMode="External"/><Relationship Id="rId218" Type="http://schemas.openxmlformats.org/officeDocument/2006/relationships/hyperlink" Target="https://www.sec.gov/rules/final/2019/33-10618.pdf" TargetMode="External"/><Relationship Id="rId239" Type="http://schemas.openxmlformats.org/officeDocument/2006/relationships/theme" Target="theme/theme1.xml"/><Relationship Id="rId24" Type="http://schemas.openxmlformats.org/officeDocument/2006/relationships/hyperlink" Target="https://www.sec.gov/rules/proposed/2022/33-11042.pdf" TargetMode="External"/><Relationship Id="rId45" Type="http://schemas.openxmlformats.org/officeDocument/2006/relationships/hyperlink" Target="https://www.goodwinlaw.com/publications/2019/08/08_28-inline-xbrl-interpretations-issued-by-sec" TargetMode="External"/><Relationship Id="rId66" Type="http://schemas.openxmlformats.org/officeDocument/2006/relationships/hyperlink" Target="https://www.ecfr.gov/current/title-17/chapter-II/part-229" TargetMode="External"/><Relationship Id="rId87" Type="http://schemas.openxmlformats.org/officeDocument/2006/relationships/hyperlink" Target="https://www.sec.gov/rules/interp/2018/33-10459.pdf" TargetMode="External"/><Relationship Id="rId110" Type="http://schemas.openxmlformats.org/officeDocument/2006/relationships/hyperlink" Target="https://www.sec.gov/divisions/corpfin/guidance/regs-kinterp.htm" TargetMode="External"/><Relationship Id="rId131" Type="http://schemas.openxmlformats.org/officeDocument/2006/relationships/hyperlink" Target="https://www.sec.gov/rules/final/2019/33-10618.pdf" TargetMode="External"/><Relationship Id="rId152" Type="http://schemas.openxmlformats.org/officeDocument/2006/relationships/hyperlink" Target="https://www.goodwinlaw.com/publications/2018/01/01_23_18-new-pcaob-audit-standard" TargetMode="External"/><Relationship Id="rId173" Type="http://schemas.openxmlformats.org/officeDocument/2006/relationships/hyperlink" Target="https://www.ecfr.gov/current/title-17/chapter-II/part-229" TargetMode="External"/><Relationship Id="rId194" Type="http://schemas.openxmlformats.org/officeDocument/2006/relationships/hyperlink" Target="https://www.ecfr.gov/current/title-17/chapter-II/part-229" TargetMode="External"/><Relationship Id="rId208" Type="http://schemas.openxmlformats.org/officeDocument/2006/relationships/hyperlink" Target="https://www.goodwinlaw.com/publications/2017/07/07_26_17-reminder_sec-exhibit-hyperlink-and-html" TargetMode="External"/><Relationship Id="rId229" Type="http://schemas.openxmlformats.org/officeDocument/2006/relationships/hyperlink" Target="http://www.sec.gov/News/PublicStmt/Detail/PublicStmt/1370541681994" TargetMode="External"/><Relationship Id="rId14" Type="http://schemas.openxmlformats.org/officeDocument/2006/relationships/hyperlink" Target="https://www.goodwinlaw.com/en/insights/publications/2022/06/06_08-sec-adopts-new-requirements-for-glossy" TargetMode="External"/><Relationship Id="rId35" Type="http://schemas.openxmlformats.org/officeDocument/2006/relationships/hyperlink" Target="https://www.goodwinlaw.com/publications/2020/10/10_14-new-california-law-will-require" TargetMode="External"/><Relationship Id="rId56" Type="http://schemas.openxmlformats.org/officeDocument/2006/relationships/hyperlink" Target="https://www.sec.gov/corpfin/sample-letter-climate-change-disclosures?utm_medium=email&amp;utm_source=govdelivery" TargetMode="External"/><Relationship Id="rId77" Type="http://schemas.openxmlformats.org/officeDocument/2006/relationships/hyperlink" Target="https://www.sec.gov/litigation/complaints/2019/comp-pr2019-194.pdf" TargetMode="External"/><Relationship Id="rId100" Type="http://schemas.openxmlformats.org/officeDocument/2006/relationships/hyperlink" Target="https://www.ecfr.gov/current/title-17/chapter-II/part-229" TargetMode="External"/><Relationship Id="rId8" Type="http://schemas.openxmlformats.org/officeDocument/2006/relationships/footer" Target="footer1.xml"/><Relationship Id="rId98" Type="http://schemas.openxmlformats.org/officeDocument/2006/relationships/hyperlink" Target="http://www.irs.gov/irb/2005-33_IRB/ar14.html" TargetMode="External"/><Relationship Id="rId121" Type="http://schemas.openxmlformats.org/officeDocument/2006/relationships/hyperlink" Target="https://www.goodwinlaw.com/publications/2019/01/01_10-non-gaap-equal-or-greater-prominence" TargetMode="External"/><Relationship Id="rId142" Type="http://schemas.openxmlformats.org/officeDocument/2006/relationships/hyperlink" Target="https://pcaobus.org/Standards/Auditing/Pages/AS3101.aspx" TargetMode="External"/><Relationship Id="rId163" Type="http://schemas.openxmlformats.org/officeDocument/2006/relationships/hyperlink" Target="https://www.sec.gov/rules/final/2021/34-93701.pdf" TargetMode="External"/><Relationship Id="rId184" Type="http://schemas.openxmlformats.org/officeDocument/2006/relationships/hyperlink" Target="file://C:\Program%20Files\Goodwin%20Procter\NRPortbl\ACTIVE\JON\Instructions%20to%20Item%20407(d)(5).%201.%20The%20disclosure%20under%20paragraph%20(d)(5)%20of%20this%20Item%20is%20required%20only%20in%20a%20registrant's%20annual%20report.%20The%20registrant%20need%20not%20provide%20the%20disclosure%20required%20by%20paragraph%20(d)(5)%20of%20this%20Item%20in%20a%20proxy%20or%20information%20statement%20unless%20that%20registrant%20is%20electing%20to%20incorporate%20this%20information%20by%20reference%20from%20the%20proxy%20or%20information%20statement%20into%20its%20annual%20report%20pursuant%20to%20General%20Instruction%20G(3)%20to%20Form%2010-K" TargetMode="External"/><Relationship Id="rId219" Type="http://schemas.openxmlformats.org/officeDocument/2006/relationships/hyperlink" Target="https://www.goodwinlaw.com/publications/2019/04/04_04-disclosure-simplification-round-two" TargetMode="External"/><Relationship Id="rId230" Type="http://schemas.openxmlformats.org/officeDocument/2006/relationships/hyperlink" Target="http://www.sec.gov/rules/other/2014/34-72079.pdf" TargetMode="External"/><Relationship Id="rId25" Type="http://schemas.openxmlformats.org/officeDocument/2006/relationships/hyperlink" Target="https://www.sec.gov/corpfin/amendments-smaller-reporting-company-definition" TargetMode="External"/><Relationship Id="rId46" Type="http://schemas.openxmlformats.org/officeDocument/2006/relationships/hyperlink" Target="https://www.goodwinlaw.com/-/media/files/publications/03_25_20-sec-exempts-srcs-from-sox-404.pdf" TargetMode="External"/><Relationship Id="rId67" Type="http://schemas.openxmlformats.org/officeDocument/2006/relationships/hyperlink" Target="https://www.goodwinlaw.com/publications/2018/09/09_12-sec-adopts-first-step-in-disclosure" TargetMode="External"/><Relationship Id="rId88" Type="http://schemas.openxmlformats.org/officeDocument/2006/relationships/hyperlink" Target="https://www.goodwinlaw.com/publications/2018/10/10_22-sec-report-cautions-public-companies" TargetMode="External"/><Relationship Id="rId111" Type="http://schemas.openxmlformats.org/officeDocument/2006/relationships/hyperlink" Target="https://www.ecfr.gov/current/title-17/chapter-II/part-229" TargetMode="External"/><Relationship Id="rId132" Type="http://schemas.openxmlformats.org/officeDocument/2006/relationships/hyperlink" Target="https://www.sec.gov/divisions/corpfin/guidance/regs-kinterp.htm" TargetMode="External"/><Relationship Id="rId153" Type="http://schemas.openxmlformats.org/officeDocument/2006/relationships/hyperlink" Target="https://www.ecfr.gov/current/title-17/chapter-II/part-229" TargetMode="External"/><Relationship Id="rId174" Type="http://schemas.openxmlformats.org/officeDocument/2006/relationships/hyperlink" Target="https://www.ecfr.gov/current/title-17/chapter-II/part-229" TargetMode="External"/><Relationship Id="rId195" Type="http://schemas.openxmlformats.org/officeDocument/2006/relationships/hyperlink" Target="https://www.sec.gov/rules/final/2019/33-10618.pdf" TargetMode="External"/><Relationship Id="rId209" Type="http://schemas.openxmlformats.org/officeDocument/2006/relationships/hyperlink" Target="https://www.sec.gov/rules/final/2019/33-10618.pdf" TargetMode="External"/><Relationship Id="rId190" Type="http://schemas.openxmlformats.org/officeDocument/2006/relationships/hyperlink" Target="https://www.goodwinlaw.com/-/media/files/toolkit/2022/executive-compensation-worksheet-for-smaller-repor.pdf?la=en" TargetMode="External"/><Relationship Id="rId204" Type="http://schemas.openxmlformats.org/officeDocument/2006/relationships/hyperlink" Target="https://www.sec.gov/corpfin/interactive-data-cdi" TargetMode="External"/><Relationship Id="rId220" Type="http://schemas.openxmlformats.org/officeDocument/2006/relationships/hyperlink" Target="https://www.sec.gov/corpfin/confidential-treatment-applications" TargetMode="External"/><Relationship Id="rId225" Type="http://schemas.openxmlformats.org/officeDocument/2006/relationships/hyperlink" Target="https://www.goodwinlaw.com/publications/2019/04/04_04-disclosure-simplification-round-two" TargetMode="External"/><Relationship Id="rId15" Type="http://schemas.openxmlformats.org/officeDocument/2006/relationships/hyperlink" Target="https://www.sec.gov/corpfin/non-gaap-financial-measures" TargetMode="External"/><Relationship Id="rId36" Type="http://schemas.openxmlformats.org/officeDocument/2006/relationships/hyperlink" Target="https://www.goodwinlaw.com/publications/2021/08/08_09_sec-approves-nasdaq-board-diversity-rules" TargetMode="External"/><Relationship Id="rId57" Type="http://schemas.openxmlformats.org/officeDocument/2006/relationships/hyperlink" Target="https://www.congress.gov/bill/104th-congress/house-bill/1058" TargetMode="External"/><Relationship Id="rId106" Type="http://schemas.openxmlformats.org/officeDocument/2006/relationships/hyperlink" Target="https://www.ecfr.gov/current/title-17/chapter-II/part-229" TargetMode="External"/><Relationship Id="rId127" Type="http://schemas.openxmlformats.org/officeDocument/2006/relationships/hyperlink" Target="https://www.sec.gov/rules/interp/2020/33-10751.pdf" TargetMode="External"/><Relationship Id="rId10" Type="http://schemas.openxmlformats.org/officeDocument/2006/relationships/header" Target="header2.xml"/><Relationship Id="rId31" Type="http://schemas.openxmlformats.org/officeDocument/2006/relationships/hyperlink" Target="https://www.sec.gov/files/form10-k_1.pdf" TargetMode="External"/><Relationship Id="rId52" Type="http://schemas.openxmlformats.org/officeDocument/2006/relationships/hyperlink" Target="https://www.sec.gov/divisions/corpfin/guidance/cfjjobsactfaq-title-i-general.htm" TargetMode="External"/><Relationship Id="rId73" Type="http://schemas.openxmlformats.org/officeDocument/2006/relationships/hyperlink" Target="https://www.sec.gov/divisions/corpfin/guidance/cfguidance-topic2.htm" TargetMode="External"/><Relationship Id="rId78" Type="http://schemas.openxmlformats.org/officeDocument/2006/relationships/hyperlink" Target="https://www.sec.gov/corpfin/coronavirus-covid-19" TargetMode="External"/><Relationship Id="rId94" Type="http://schemas.openxmlformats.org/officeDocument/2006/relationships/hyperlink" Target="https://www.sec.gov/news/public-statement/libor-transition" TargetMode="External"/><Relationship Id="rId99" Type="http://schemas.openxmlformats.org/officeDocument/2006/relationships/hyperlink" Target="http://www.irs.gov/pub/irs-irbs/irb05-33.pdf" TargetMode="External"/><Relationship Id="rId101" Type="http://schemas.openxmlformats.org/officeDocument/2006/relationships/hyperlink" Target="http://www.sec.gov/rules/final/2011/33-9286.pdf" TargetMode="External"/><Relationship Id="rId122" Type="http://schemas.openxmlformats.org/officeDocument/2006/relationships/hyperlink" Target="https://www.sec.gov/litigation/admin/2018/34-84956.pdf" TargetMode="External"/><Relationship Id="rId143" Type="http://schemas.openxmlformats.org/officeDocument/2006/relationships/hyperlink" Target="https://pcaobus.org/Standards/Archived/Documents/PCAOB-Auditors-Report-Guidance-12-4-17.pdf" TargetMode="External"/><Relationship Id="rId148" Type="http://schemas.openxmlformats.org/officeDocument/2006/relationships/hyperlink" Target="https://pcaobus.org/Standards/Auditing/Pages/AS3101.aspx" TargetMode="External"/><Relationship Id="rId164" Type="http://schemas.openxmlformats.org/officeDocument/2006/relationships/hyperlink" Target="https://www.sec.gov/rules/final/2021/34-93701.pdf" TargetMode="External"/><Relationship Id="rId169" Type="http://schemas.openxmlformats.org/officeDocument/2006/relationships/hyperlink" Target="https://www.sec.gov/rules/final/33-8177.htm" TargetMode="External"/><Relationship Id="rId185" Type="http://schemas.openxmlformats.org/officeDocument/2006/relationships/hyperlink" Target="https://www.ecfr.gov/current/title-17/chapter-II/part-229" TargetMode="Externa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hyperlink" Target="https://www.ecfr.gov/current/title-17/chapter-II/part-229" TargetMode="External"/><Relationship Id="rId210" Type="http://schemas.openxmlformats.org/officeDocument/2006/relationships/hyperlink" Target="https://www.sec.gov/rules/final/2019/33-10618.pdf" TargetMode="External"/><Relationship Id="rId215" Type="http://schemas.openxmlformats.org/officeDocument/2006/relationships/hyperlink" Target="https://www.sec.gov/rules/final/2019/33-10618.pdf" TargetMode="External"/><Relationship Id="rId236" Type="http://schemas.openxmlformats.org/officeDocument/2006/relationships/header" Target="header6.xml"/><Relationship Id="rId26" Type="http://schemas.openxmlformats.org/officeDocument/2006/relationships/hyperlink" Target="https://www.sec.gov/files/form10-k_1.pdf" TargetMode="External"/><Relationship Id="rId231" Type="http://schemas.openxmlformats.org/officeDocument/2006/relationships/header" Target="header3.xml"/><Relationship Id="rId47" Type="http://schemas.openxmlformats.org/officeDocument/2006/relationships/hyperlink" Target="https://www.goodwinlaw.com/publications/2018/07/07_09-sec-expands-smaller-reporting" TargetMode="External"/><Relationship Id="rId68" Type="http://schemas.openxmlformats.org/officeDocument/2006/relationships/hyperlink" Target="https://www.ecfr.gov/current/title-17/chapter-II/part-229" TargetMode="External"/><Relationship Id="rId89" Type="http://schemas.openxmlformats.org/officeDocument/2006/relationships/hyperlink" Target="https://www.sec.gov/rules/interp/2018/33-10459.pdf" TargetMode="External"/><Relationship Id="rId112" Type="http://schemas.openxmlformats.org/officeDocument/2006/relationships/hyperlink" Target="https://www.ecfr.gov/current/title-17/chapter-II/part-229" TargetMode="External"/><Relationship Id="rId133" Type="http://schemas.openxmlformats.org/officeDocument/2006/relationships/hyperlink" Target="https://www.goodwinlaw.com/publications/2019/04/04_04-disclosure-simplification-round-two" TargetMode="External"/><Relationship Id="rId154" Type="http://schemas.openxmlformats.org/officeDocument/2006/relationships/hyperlink" Target="https://www.ecfr.gov/current/title-17/chapter-II/part-229" TargetMode="External"/><Relationship Id="rId175" Type="http://schemas.openxmlformats.org/officeDocument/2006/relationships/hyperlink" Target="https://www.ecfr.gov/current/title-17/chapter-II/part-229" TargetMode="External"/><Relationship Id="rId196" Type="http://schemas.openxmlformats.org/officeDocument/2006/relationships/hyperlink" Target="https://www.goodwinlaw.com/publications/2019/04/04_04-disclosure-simplification-round-two" TargetMode="External"/><Relationship Id="rId200" Type="http://schemas.openxmlformats.org/officeDocument/2006/relationships/hyperlink" Target="https://www.sec.gov/rules/final/2019/33-10618.pdf" TargetMode="External"/><Relationship Id="rId16" Type="http://schemas.openxmlformats.org/officeDocument/2006/relationships/hyperlink" Target="https://www.goodwinlaw.com/en/insights/publications/2022/12/12_20-sec-new-non-gaap-financial-measures-guidance" TargetMode="External"/><Relationship Id="rId221" Type="http://schemas.openxmlformats.org/officeDocument/2006/relationships/hyperlink" Target="https://www.sec.gov/rules/final/2019/33-10618.pdf" TargetMode="External"/><Relationship Id="rId37" Type="http://schemas.openxmlformats.org/officeDocument/2006/relationships/hyperlink" Target="https://www.ecfr.gov/current/title-17/chapter-II/part-230" TargetMode="External"/><Relationship Id="rId58" Type="http://schemas.openxmlformats.org/officeDocument/2006/relationships/hyperlink" Target="https://www.ecfr.gov/current/title-17/chapter-II/part-229" TargetMode="External"/><Relationship Id="rId79" Type="http://schemas.openxmlformats.org/officeDocument/2006/relationships/hyperlink" Target="https://www.sec.gov/corpfin/covid-19-disclosure-considerations" TargetMode="External"/><Relationship Id="rId102" Type="http://schemas.openxmlformats.org/officeDocument/2006/relationships/hyperlink" Target="https://www.ecfr.gov/current/title-17/chapter-II/part-229" TargetMode="External"/><Relationship Id="rId123" Type="http://schemas.openxmlformats.org/officeDocument/2006/relationships/hyperlink" Target="https://www.goodwinlaw.com/publications/2019/01/01_10-non-gaap-equal-or-greater-prominence" TargetMode="External"/><Relationship Id="rId144" Type="http://schemas.openxmlformats.org/officeDocument/2006/relationships/hyperlink" Target="https://www.goodwinlaw.com/publications/2018/01/01_23_18-new-pcaob-audit-standard" TargetMode="External"/><Relationship Id="rId90" Type="http://schemas.openxmlformats.org/officeDocument/2006/relationships/hyperlink" Target="https://www.sec.gov/divisions/corpfin/guidance/cfguidance-topic2.htm" TargetMode="External"/><Relationship Id="rId165" Type="http://schemas.openxmlformats.org/officeDocument/2006/relationships/hyperlink" Target="https://www.ecfr.gov/current/title-17/chapter-II/part-229/subpart-229.400/section-229.406" TargetMode="External"/><Relationship Id="rId186" Type="http://schemas.openxmlformats.org/officeDocument/2006/relationships/hyperlink" Target="https://www.ecfr.gov/current/title-17/chapter-II/part-229/subpart-229.400/section-229.407" TargetMode="External"/><Relationship Id="rId211" Type="http://schemas.openxmlformats.org/officeDocument/2006/relationships/hyperlink" Target="https://www.goodwinlaw.com/publications/2019/04/04_04-disclosure-simplification-round-two" TargetMode="External"/><Relationship Id="rId232" Type="http://schemas.openxmlformats.org/officeDocument/2006/relationships/header" Target="header4.xml"/><Relationship Id="rId27" Type="http://schemas.openxmlformats.org/officeDocument/2006/relationships/hyperlink" Target="https://www.sec.gov/forms" TargetMode="External"/><Relationship Id="rId48" Type="http://schemas.openxmlformats.org/officeDocument/2006/relationships/hyperlink" Target="https://www.sec.gov/corpfin/secg-accelerated-filer-and-large-accelerated-filer-definitions" TargetMode="External"/><Relationship Id="rId69" Type="http://schemas.openxmlformats.org/officeDocument/2006/relationships/hyperlink" Target="https://www.ecfr.gov/current/title-17/chapter-II/part-229" TargetMode="External"/><Relationship Id="rId113" Type="http://schemas.openxmlformats.org/officeDocument/2006/relationships/hyperlink" Target="https://www.ecfr.gov/current/title-17/chapter-II/part-229" TargetMode="External"/><Relationship Id="rId134" Type="http://schemas.openxmlformats.org/officeDocument/2006/relationships/hyperlink" Target="https://www.sec.gov/rules/final/2018/33-10532.pdf" TargetMode="External"/><Relationship Id="rId80" Type="http://schemas.openxmlformats.org/officeDocument/2006/relationships/hyperlink" Target="https://www.goodwinlaw.com/publications/2020/06/06_29-sec-issues-additional-covid-guidance" TargetMode="External"/><Relationship Id="rId155" Type="http://schemas.openxmlformats.org/officeDocument/2006/relationships/hyperlink" Target="https://www.ecfr.gov/current/title-17/chapter-II/part-229" TargetMode="External"/><Relationship Id="rId176" Type="http://schemas.openxmlformats.org/officeDocument/2006/relationships/hyperlink" Target="https://www.ecfr.gov/current/title-17/chapter-II/part-229" TargetMode="External"/><Relationship Id="rId197" Type="http://schemas.openxmlformats.org/officeDocument/2006/relationships/hyperlink" Target="https://www.ecfr.gov/current/title-17/chapter-II/part-229" TargetMode="External"/><Relationship Id="rId201" Type="http://schemas.openxmlformats.org/officeDocument/2006/relationships/hyperlink" Target="https://www.goodwinlaw.com/publications/2019/04/04_04-disclosure-simplification-round-two" TargetMode="External"/><Relationship Id="rId222" Type="http://schemas.openxmlformats.org/officeDocument/2006/relationships/hyperlink" Target="https://www.goodwinlaw.com/publications/2019/04/04_04-disclosure-simplification-round-two" TargetMode="External"/><Relationship Id="rId17" Type="http://schemas.openxmlformats.org/officeDocument/2006/relationships/hyperlink" Target="https://www.sec.gov/corpfin/sample-letter-companies-regarding-crypto-asset-markets" TargetMode="External"/><Relationship Id="rId38" Type="http://schemas.openxmlformats.org/officeDocument/2006/relationships/hyperlink" Target="https://www.ecfr.gov/current/title-17/chapter-II/part-230" TargetMode="External"/><Relationship Id="rId59" Type="http://schemas.openxmlformats.org/officeDocument/2006/relationships/hyperlink" Target="https://www.sec.gov/files/form10-k_1.pdf" TargetMode="External"/><Relationship Id="rId103" Type="http://schemas.openxmlformats.org/officeDocument/2006/relationships/hyperlink" Target="https://www.ecfr.gov/current/title-17/chapter-II/part-229" TargetMode="External"/><Relationship Id="rId124" Type="http://schemas.openxmlformats.org/officeDocument/2006/relationships/hyperlink" Target="https://www.ecfr.gov/current/title-17/chapter-II/part-229" TargetMode="External"/><Relationship Id="rId70" Type="http://schemas.openxmlformats.org/officeDocument/2006/relationships/hyperlink" Target="https://www.ecfr.gov/current/title-17/chapter-II/part-229" TargetMode="External"/><Relationship Id="rId91" Type="http://schemas.openxmlformats.org/officeDocument/2006/relationships/hyperlink" Target="https://www.sec.gov/news/press-release/2019-194" TargetMode="External"/><Relationship Id="rId145" Type="http://schemas.openxmlformats.org/officeDocument/2006/relationships/hyperlink" Target="https://www.ecfr.gov/current/title-17/chapter-II/part-230" TargetMode="External"/><Relationship Id="rId166" Type="http://schemas.openxmlformats.org/officeDocument/2006/relationships/hyperlink" Target="https://www.ecfr.gov/current/title-17/chapter-II/part-229/subpart-229.400/section-229.406" TargetMode="External"/><Relationship Id="rId187" Type="http://schemas.openxmlformats.org/officeDocument/2006/relationships/hyperlink" Target="https://www.sec.gov/rules/final/33-8177.htm" TargetMode="External"/><Relationship Id="rId1" Type="http://schemas.openxmlformats.org/officeDocument/2006/relationships/numbering" Target="numbering.xml"/><Relationship Id="rId212" Type="http://schemas.openxmlformats.org/officeDocument/2006/relationships/hyperlink" Target="https://www.goodwinlaw.com/publications/2017/03/03_06_17-sec-adopts-mandatory-exhibit-hyperlinks" TargetMode="External"/><Relationship Id="rId233" Type="http://schemas.openxmlformats.org/officeDocument/2006/relationships/header" Target="header5.xml"/><Relationship Id="rId28" Type="http://schemas.openxmlformats.org/officeDocument/2006/relationships/hyperlink" Target="http://www.sec.gov/" TargetMode="External"/><Relationship Id="rId49" Type="http://schemas.openxmlformats.org/officeDocument/2006/relationships/hyperlink" Target="https://www.sec.gov/rules/final/2018/33-10513.pdf" TargetMode="External"/><Relationship Id="rId114" Type="http://schemas.openxmlformats.org/officeDocument/2006/relationships/hyperlink" Target="https://www.ecfr.gov/current/title-17/chapter-II/part-229/subpart-229.300" TargetMode="External"/><Relationship Id="rId60" Type="http://schemas.openxmlformats.org/officeDocument/2006/relationships/hyperlink" Target="https://www.sec.gov/rules/final/2019/33-10618.pdf" TargetMode="External"/><Relationship Id="rId81" Type="http://schemas.openxmlformats.org/officeDocument/2006/relationships/hyperlink" Target="https://www.goodwinlaw.com/publications/2020/04/04_14-sec-covid19-statements-highlight" TargetMode="External"/><Relationship Id="rId135" Type="http://schemas.openxmlformats.org/officeDocument/2006/relationships/hyperlink" Target="https://www.ecfr.gov/current/title-17/chapter-II/part-229" TargetMode="External"/><Relationship Id="rId156" Type="http://schemas.openxmlformats.org/officeDocument/2006/relationships/hyperlink" Target="https://www.ecfr.gov/current/title-17/chapter-II/part-229" TargetMode="External"/><Relationship Id="rId177" Type="http://schemas.openxmlformats.org/officeDocument/2006/relationships/hyperlink" Target="https://www.ecfr.gov/current/title-17/chapter-II/part-229" TargetMode="External"/><Relationship Id="rId198" Type="http://schemas.openxmlformats.org/officeDocument/2006/relationships/hyperlink" Target="https://www.ecfr.gov/current/title-17/chapter-II/part-229/subpart-229.400/section-229.406" TargetMode="External"/><Relationship Id="rId202" Type="http://schemas.openxmlformats.org/officeDocument/2006/relationships/hyperlink" Target="https://www.sec.gov/rules/final/2018/33-10514.pdf" TargetMode="External"/><Relationship Id="rId223" Type="http://schemas.openxmlformats.org/officeDocument/2006/relationships/hyperlink" Target="https://www.ecfr.gov/current/title-17/chapter-II/part-229" TargetMode="External"/><Relationship Id="rId18" Type="http://schemas.openxmlformats.org/officeDocument/2006/relationships/hyperlink" Target="https://www.sec.gov/rules/final/2022/33-11138.pdf" TargetMode="External"/><Relationship Id="rId39" Type="http://schemas.openxmlformats.org/officeDocument/2006/relationships/hyperlink" Target="https://www.ecfr.gov/current/title-17/chapter-II/part-230" TargetMode="External"/><Relationship Id="rId50" Type="http://schemas.openxmlformats.org/officeDocument/2006/relationships/hyperlink" Target="https://www.sec.gov/rules/final/2020/34-88365.pdf" TargetMode="External"/><Relationship Id="rId104" Type="http://schemas.openxmlformats.org/officeDocument/2006/relationships/hyperlink" Target="https://www.ecfr.gov/current/title-17/chapter-II/part-229" TargetMode="External"/><Relationship Id="rId125" Type="http://schemas.openxmlformats.org/officeDocument/2006/relationships/hyperlink" Target="https://www.ecfr.gov/current/title-17/chapter-II/part-229" TargetMode="External"/><Relationship Id="rId146" Type="http://schemas.openxmlformats.org/officeDocument/2006/relationships/hyperlink" Target="https://www.ecfr.gov/current/title-17/chapter-II/part-240" TargetMode="External"/><Relationship Id="rId167" Type="http://schemas.openxmlformats.org/officeDocument/2006/relationships/hyperlink" Target="https://www.ecfr.gov/current/title-17/chapter-II/part-229/subpart-229.400/section-229.406" TargetMode="External"/><Relationship Id="rId188" Type="http://schemas.openxmlformats.org/officeDocument/2006/relationships/hyperlink" Target="https://www.sec.gov/rules/final/33-8177.htm" TargetMode="External"/><Relationship Id="rId71" Type="http://schemas.openxmlformats.org/officeDocument/2006/relationships/hyperlink" Target="https://www.law.cornell.edu/definitions/index.php?width=840&amp;height=800&amp;iframe=true&amp;def_id=9c4c70a8673e1558c0f949913e9c9aed&amp;term_occur=999&amp;term_src=Title:17:Chapter:II:Part:229:Subpart:229.100:229.101" TargetMode="External"/><Relationship Id="rId92" Type="http://schemas.openxmlformats.org/officeDocument/2006/relationships/hyperlink" Target="https://www.sec.gov/litigation/complaints/2019/comp-pr2019-194.pdf" TargetMode="External"/><Relationship Id="rId213" Type="http://schemas.openxmlformats.org/officeDocument/2006/relationships/hyperlink" Target="https://www.sec.gov/rules/final/2019/33-10618.pdf" TargetMode="External"/><Relationship Id="rId234" Type="http://schemas.openxmlformats.org/officeDocument/2006/relationships/footer" Target="footer4.xml"/><Relationship Id="rId2" Type="http://schemas.openxmlformats.org/officeDocument/2006/relationships/styles" Target="styles.xml"/><Relationship Id="rId29" Type="http://schemas.openxmlformats.org/officeDocument/2006/relationships/hyperlink" Target="https://www.sec.gov/files/2017-03/form10-k.pdf" TargetMode="External"/><Relationship Id="rId40" Type="http://schemas.openxmlformats.org/officeDocument/2006/relationships/hyperlink" Target="https://www.sec.gov/rules/final/2019/33-10618.pdf" TargetMode="External"/><Relationship Id="rId115" Type="http://schemas.openxmlformats.org/officeDocument/2006/relationships/hyperlink" Target="https://www.ecfr.gov/current/title-17/chapter-II/part-229" TargetMode="External"/><Relationship Id="rId136" Type="http://schemas.openxmlformats.org/officeDocument/2006/relationships/hyperlink" Target="https://www.ecfr.gov/current/title-17/chapter-II/part-229" TargetMode="External"/><Relationship Id="rId157" Type="http://schemas.openxmlformats.org/officeDocument/2006/relationships/hyperlink" Target="https://www.ecfr.gov/current/title-17/chapter-II/part-229" TargetMode="External"/><Relationship Id="rId178" Type="http://schemas.openxmlformats.org/officeDocument/2006/relationships/hyperlink" Target="https://www.ecfr.gov/current/title-17/chapter-II/part-229" TargetMode="External"/><Relationship Id="rId61" Type="http://schemas.openxmlformats.org/officeDocument/2006/relationships/hyperlink" Target="https://www.goodwinlaw.com/publications/2019/04/04_04-disclosure-simplification-round-two" TargetMode="External"/><Relationship Id="rId82" Type="http://schemas.openxmlformats.org/officeDocument/2006/relationships/hyperlink" Target="https://www.goodwinlaw.com/publications/2020/03/03_26-sec-extends-covid19-relief" TargetMode="External"/><Relationship Id="rId199" Type="http://schemas.openxmlformats.org/officeDocument/2006/relationships/hyperlink" Target="https://www.goodwinlaw.com/publications/2019/08/08_28-inline-xbrl-interpretations-issued-by-sec" TargetMode="External"/><Relationship Id="rId203" Type="http://schemas.openxmlformats.org/officeDocument/2006/relationships/hyperlink" Target="https://www.goodwinlaw.com/publications/2018/07/07_24-sec-adopts-mandatory-inline-xbrl" TargetMode="External"/><Relationship Id="rId19" Type="http://schemas.openxmlformats.org/officeDocument/2006/relationships/hyperlink" Target="https://www.goodwinlaw.com/en/insights/publications/2022/12/12_16-sec-adopts-amendments-to-rules" TargetMode="External"/><Relationship Id="rId224" Type="http://schemas.openxmlformats.org/officeDocument/2006/relationships/hyperlink" Target="https://www.sec.gov/rules/final/2019/33-10618.pdf" TargetMode="External"/><Relationship Id="rId30" Type="http://schemas.openxmlformats.org/officeDocument/2006/relationships/hyperlink" Target="https://www.sec.gov/forms" TargetMode="External"/><Relationship Id="rId105" Type="http://schemas.openxmlformats.org/officeDocument/2006/relationships/hyperlink" Target="https://www.ecfr.gov/current/title-17/chapter-II/part-229" TargetMode="External"/><Relationship Id="rId126" Type="http://schemas.openxmlformats.org/officeDocument/2006/relationships/hyperlink" Target="https://www.ecfr.gov/current/title-17/chapter-II/part-229" TargetMode="External"/><Relationship Id="rId147" Type="http://schemas.openxmlformats.org/officeDocument/2006/relationships/hyperlink" Target="https://www.sec.gov/rules/final/2019/33-10618.pdf" TargetMode="External"/><Relationship Id="rId168" Type="http://schemas.openxmlformats.org/officeDocument/2006/relationships/hyperlink" Target="https://www.ecfr.gov/current/title-17/chapter-II/part-229/subpart-229.400/section-229.406" TargetMode="External"/><Relationship Id="rId51" Type="http://schemas.openxmlformats.org/officeDocument/2006/relationships/hyperlink" Target="https://www.goodwinlaw.com/publications/2019/04/04_04-disclosure-simplification-round-two" TargetMode="External"/><Relationship Id="rId72" Type="http://schemas.openxmlformats.org/officeDocument/2006/relationships/hyperlink" Target="https://www.law.cornell.edu/definitions/index.php?width=840&amp;height=800&amp;iframe=true&amp;def_id=9c4c70a8673e1558c0f949913e9c9aed&amp;term_occur=999&amp;term_src=Title:17:Chapter:II:Part:229:Subpart:229.100:229.101" TargetMode="External"/><Relationship Id="rId93" Type="http://schemas.openxmlformats.org/officeDocument/2006/relationships/hyperlink" Target="https://www.sec.gov/divisions/corpfin/guidance/cfguidance-topic2.htm" TargetMode="External"/><Relationship Id="rId189" Type="http://schemas.openxmlformats.org/officeDocument/2006/relationships/hyperlink" Target="https://www.goodwinlaw.com/-/media/files/toolkit/2022/2-executive-compensation-worksheet--20212022.pdf?la=en" TargetMode="External"/><Relationship Id="rId3" Type="http://schemas.openxmlformats.org/officeDocument/2006/relationships/settings" Target="settings.xml"/><Relationship Id="rId214" Type="http://schemas.openxmlformats.org/officeDocument/2006/relationships/hyperlink" Target="https://www.goodwinlaw.com/publications/2019/04/04_04-disclosure-simplification-round-two" TargetMode="External"/><Relationship Id="rId235" Type="http://schemas.openxmlformats.org/officeDocument/2006/relationships/footer" Target="footer5.xml"/><Relationship Id="rId116" Type="http://schemas.openxmlformats.org/officeDocument/2006/relationships/hyperlink" Target="https://www.ecfr.gov/current/title-17/chapter-II/part-244" TargetMode="External"/><Relationship Id="rId137" Type="http://schemas.openxmlformats.org/officeDocument/2006/relationships/hyperlink" Target="https://www.ecfr.gov/current/title-17/chapter-II/part-229" TargetMode="External"/><Relationship Id="rId158" Type="http://schemas.openxmlformats.org/officeDocument/2006/relationships/hyperlink" Target="https://www.ecfr.gov/current/title-17/chapter-II/part-229" TargetMode="External"/><Relationship Id="rId20" Type="http://schemas.openxmlformats.org/officeDocument/2006/relationships/hyperlink" Target="https://www.sec.gov/rules/final/2022/33-11126.pdf" TargetMode="External"/><Relationship Id="rId41" Type="http://schemas.openxmlformats.org/officeDocument/2006/relationships/hyperlink" Target="https://www.goodwinlaw.com/publications/2019/04/04_04-disclosure-simplification-round-two" TargetMode="External"/><Relationship Id="rId62" Type="http://schemas.openxmlformats.org/officeDocument/2006/relationships/hyperlink" Target="https://www.sec.gov/divisions/corpfin/guidance/cfguidance-topic2.htm" TargetMode="External"/><Relationship Id="rId83" Type="http://schemas.openxmlformats.org/officeDocument/2006/relationships/hyperlink" Target="https://www.sec.gov/news/public-statement/statement-clayton-hinman" TargetMode="External"/><Relationship Id="rId179" Type="http://schemas.openxmlformats.org/officeDocument/2006/relationships/hyperlink" Target="https://www.ecfr.gov/current/title-17/chapter-II/part-22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131</Pages>
  <Words>30076</Words>
  <Characters>171439</Characters>
  <Application>Microsoft Office Word</Application>
  <DocSecurity>0</DocSecurity>
  <Lines>1428</Lines>
  <Paragraphs>402</Paragraphs>
  <ScaleCrop>false</ScaleCrop>
  <LinksUpToDate>false</LinksUpToDate>
  <CharactersWithSpaces>201113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1900-01-01T05:00:00Z</cp:lastPrinted>
  <dcterms:created xsi:type="dcterms:W3CDTF">2023-01-03T19:30:00Z</dcterms:created>
  <dcterms:modified xsi:type="dcterms:W3CDTF">2023-01-03T19:30:00Z</dcterms:modified>
</cp:coreProperties>
</file>